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pacing w:val="34"/>
          <w:sz w:val="84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eastAsia="黑体"/>
          <w:b/>
          <w:spacing w:val="34"/>
          <w:sz w:val="56"/>
        </w:rPr>
        <w:t>广东茂名幼儿师范专科学校</w:t>
      </w:r>
      <w:r>
        <w:rPr>
          <w:rFonts w:ascii="宋体" w:hAnsi="宋体"/>
          <w:b/>
          <w:sz w:val="24"/>
          <w:szCs w:val="32"/>
        </w:rPr>
        <w:t> 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旅游管理专业人才培养方案</w:t>
      </w:r>
    </w:p>
    <w:p>
      <w:pPr>
        <w:jc w:val="center"/>
        <w:rPr>
          <w:rFonts w:eastAsia="黑体"/>
          <w:b/>
          <w:sz w:val="28"/>
        </w:rPr>
      </w:pPr>
      <w:r>
        <w:rPr>
          <w:rFonts w:eastAsia="黑体"/>
          <w:b/>
          <w:sz w:val="28"/>
        </w:rPr>
        <w:t> </w:t>
      </w:r>
    </w:p>
    <w:p>
      <w:pPr>
        <w:jc w:val="center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> 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 xml:space="preserve">学 </w:t>
      </w:r>
      <w:r>
        <w:rPr>
          <w:rFonts w:ascii="宋体" w:hAnsi="宋体"/>
          <w:sz w:val="32"/>
        </w:rPr>
        <w:t xml:space="preserve">        </w:t>
      </w:r>
      <w:r>
        <w:rPr>
          <w:rFonts w:hint="eastAsia" w:ascii="宋体" w:hAnsi="宋体"/>
          <w:sz w:val="32"/>
        </w:rPr>
        <w:t>院</w:t>
      </w:r>
      <w:r>
        <w:rPr>
          <w:rFonts w:ascii="宋体" w:hAnsi="宋体"/>
          <w:sz w:val="32"/>
          <w:u w:val="single"/>
        </w:rPr>
        <w:t xml:space="preserve">  </w:t>
      </w:r>
      <w:r>
        <w:rPr>
          <w:rFonts w:hint="eastAsia" w:ascii="宋体" w:hAnsi="宋体"/>
          <w:sz w:val="32"/>
          <w:u w:val="single"/>
        </w:rPr>
        <w:t xml:space="preserve">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旅游学院 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专</w:t>
      </w:r>
      <w:r>
        <w:rPr>
          <w:rFonts w:ascii="宋体" w:hAnsi="宋体"/>
          <w:sz w:val="32"/>
        </w:rPr>
        <w:t xml:space="preserve">         业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旅游管理  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年</w:t>
      </w:r>
      <w:r>
        <w:rPr>
          <w:rFonts w:ascii="宋体" w:hAnsi="宋体"/>
          <w:sz w:val="32"/>
        </w:rPr>
        <w:t xml:space="preserve">         级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202</w:t>
      </w:r>
      <w:r>
        <w:rPr>
          <w:rFonts w:ascii="宋体" w:hAnsi="宋体"/>
          <w:sz w:val="32"/>
          <w:u w:val="single"/>
        </w:rPr>
        <w:t>3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制   定    人 </w:t>
      </w:r>
      <w:r>
        <w:rPr>
          <w:rFonts w:ascii="宋体" w:hAnsi="宋体"/>
          <w:sz w:val="32"/>
          <w:u w:val="single"/>
        </w:rPr>
        <w:t xml:space="preserve">   </w:t>
      </w:r>
      <w:r>
        <w:rPr>
          <w:rFonts w:hint="eastAsia" w:ascii="宋体" w:hAnsi="宋体"/>
          <w:sz w:val="32"/>
          <w:u w:val="single"/>
        </w:rPr>
        <w:t xml:space="preserve">     王颖君 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hint="eastAsia" w:ascii="宋体" w:hAnsi="宋体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</w:t>
      </w:r>
    </w:p>
    <w:p>
      <w:pPr>
        <w:tabs>
          <w:tab w:val="left" w:pos="7080"/>
        </w:tabs>
        <w:spacing w:line="900" w:lineRule="exact"/>
        <w:ind w:firstLine="1573" w:firstLineChars="562"/>
        <w:rPr>
          <w:rFonts w:ascii="宋体" w:hAnsi="宋体"/>
          <w:spacing w:val="-20"/>
          <w:sz w:val="32"/>
        </w:rPr>
      </w:pPr>
      <w:r>
        <w:rPr>
          <w:rFonts w:hint="eastAsia" w:ascii="宋体" w:hAnsi="宋体"/>
          <w:spacing w:val="-20"/>
          <w:sz w:val="32"/>
        </w:rPr>
        <w:t>审定人（院长）</w:t>
      </w:r>
      <w:r>
        <w:rPr>
          <w:rFonts w:ascii="宋体" w:hAnsi="宋体"/>
          <w:spacing w:val="-20"/>
          <w:sz w:val="32"/>
        </w:rPr>
        <w:t xml:space="preserve"> </w:t>
      </w:r>
      <w:r>
        <w:rPr>
          <w:rFonts w:hint="eastAsia" w:ascii="宋体" w:hAnsi="宋体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        </w:t>
      </w:r>
      <w:r>
        <w:rPr>
          <w:rFonts w:hint="eastAsia" w:ascii="宋体" w:hAnsi="宋体"/>
          <w:spacing w:val="-20"/>
          <w:sz w:val="32"/>
          <w:u w:val="single"/>
        </w:rPr>
        <w:t xml:space="preserve">          </w:t>
      </w:r>
      <w:r>
        <w:rPr>
          <w:rFonts w:ascii="宋体" w:hAnsi="宋体"/>
          <w:spacing w:val="-20"/>
          <w:sz w:val="32"/>
          <w:u w:val="single"/>
        </w:rPr>
        <w:t xml:space="preserve">  </w:t>
      </w:r>
      <w:r>
        <w:rPr>
          <w:rFonts w:hint="eastAsia" w:ascii="宋体" w:hAnsi="宋体"/>
          <w:spacing w:val="-20"/>
          <w:sz w:val="32"/>
          <w:u w:val="single"/>
        </w:rPr>
        <w:t xml:space="preserve"> </w:t>
      </w:r>
      <w:r>
        <w:rPr>
          <w:rFonts w:ascii="宋体" w:hAnsi="宋体"/>
          <w:spacing w:val="-20"/>
          <w:sz w:val="32"/>
          <w:u w:val="single"/>
        </w:rPr>
        <w:t xml:space="preserve">     </w:t>
      </w:r>
    </w:p>
    <w:p>
      <w:pPr>
        <w:tabs>
          <w:tab w:val="left" w:pos="7080"/>
        </w:tabs>
        <w:spacing w:line="900" w:lineRule="exact"/>
        <w:ind w:firstLine="1573" w:firstLineChars="605"/>
        <w:rPr>
          <w:rFonts w:ascii="宋体" w:hAnsi="宋体"/>
          <w:spacing w:val="-30"/>
          <w:sz w:val="32"/>
          <w:u w:val="single"/>
        </w:rPr>
      </w:pPr>
      <w:r>
        <w:rPr>
          <w:rFonts w:hint="eastAsia" w:ascii="宋体" w:hAnsi="宋体"/>
          <w:spacing w:val="-30"/>
          <w:sz w:val="32"/>
        </w:rPr>
        <w:t>审批人（教务部长）</w:t>
      </w:r>
      <w:r>
        <w:rPr>
          <w:rFonts w:ascii="宋体" w:hAnsi="宋体"/>
          <w:spacing w:val="-30"/>
          <w:sz w:val="32"/>
        </w:rPr>
        <w:t xml:space="preserve"> </w:t>
      </w:r>
      <w:r>
        <w:rPr>
          <w:rFonts w:hint="eastAsia" w:ascii="宋体" w:hAnsi="宋体"/>
          <w:spacing w:val="-30"/>
          <w:sz w:val="32"/>
          <w:u w:val="single"/>
        </w:rPr>
        <w:t xml:space="preserve"> </w:t>
      </w:r>
      <w:r>
        <w:rPr>
          <w:rFonts w:ascii="宋体" w:hAnsi="宋体"/>
          <w:spacing w:val="-30"/>
          <w:sz w:val="32"/>
          <w:u w:val="single"/>
        </w:rPr>
        <w:t xml:space="preserve">            </w:t>
      </w:r>
      <w:r>
        <w:rPr>
          <w:rFonts w:hint="eastAsia" w:ascii="宋体" w:hAnsi="宋体"/>
          <w:spacing w:val="-30"/>
          <w:sz w:val="32"/>
          <w:u w:val="single"/>
        </w:rPr>
        <w:t xml:space="preserve">              </w:t>
      </w:r>
      <w:r>
        <w:rPr>
          <w:rFonts w:ascii="宋体" w:hAnsi="宋体"/>
          <w:spacing w:val="-30"/>
          <w:sz w:val="32"/>
          <w:u w:val="single"/>
        </w:rPr>
        <w:t xml:space="preserve">        </w:t>
      </w:r>
    </w:p>
    <w:p>
      <w:pPr>
        <w:tabs>
          <w:tab w:val="left" w:pos="7080"/>
        </w:tabs>
        <w:spacing w:line="900" w:lineRule="exact"/>
        <w:ind w:firstLine="1574" w:firstLineChars="492"/>
        <w:rPr>
          <w:rFonts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主</w:t>
      </w:r>
      <w:r>
        <w:rPr>
          <w:rFonts w:ascii="宋体" w:hAnsi="宋体"/>
          <w:sz w:val="32"/>
        </w:rPr>
        <w:t xml:space="preserve"> 管 副 </w:t>
      </w:r>
      <w:r>
        <w:rPr>
          <w:rFonts w:hint="eastAsia" w:ascii="宋体" w:hAnsi="宋体"/>
          <w:sz w:val="32"/>
        </w:rPr>
        <w:t>校</w:t>
      </w:r>
      <w:r>
        <w:rPr>
          <w:rFonts w:ascii="宋体" w:hAnsi="宋体"/>
          <w:sz w:val="32"/>
        </w:rPr>
        <w:t xml:space="preserve"> 长 </w:t>
      </w:r>
      <w:r>
        <w:rPr>
          <w:rFonts w:ascii="宋体" w:hAnsi="宋体"/>
          <w:sz w:val="32"/>
          <w:u w:val="single"/>
        </w:rPr>
        <w:t xml:space="preserve">                       </w:t>
      </w:r>
    </w:p>
    <w:p>
      <w:pPr>
        <w:spacing w:after="120"/>
        <w:jc w:val="center"/>
        <w:rPr>
          <w:rFonts w:ascii="宋体" w:hAnsi="宋体"/>
          <w:sz w:val="28"/>
        </w:rPr>
      </w:pPr>
      <w:r>
        <w:rPr>
          <w:rFonts w:hint="eastAsia" w:ascii="宋体" w:hAnsi="宋体"/>
          <w:sz w:val="30"/>
        </w:rPr>
        <w:t> </w:t>
      </w:r>
      <w:r>
        <w:rPr>
          <w:rFonts w:hint="eastAsia" w:ascii="宋体" w:hAnsi="宋体"/>
          <w:sz w:val="28"/>
        </w:rPr>
        <w:t> </w:t>
      </w:r>
    </w:p>
    <w:p>
      <w:pPr>
        <w:spacing w:after="120"/>
        <w:jc w:val="center"/>
        <w:rPr>
          <w:rFonts w:ascii="宋体" w:hAnsi="宋体"/>
          <w:sz w:val="28"/>
        </w:rPr>
      </w:pPr>
    </w:p>
    <w:p>
      <w:pPr>
        <w:spacing w:line="360" w:lineRule="auto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202</w:t>
      </w:r>
      <w:r>
        <w:rPr>
          <w:rFonts w:hint="eastAsia" w:ascii="仿宋_GB2312" w:eastAsia="仿宋_GB2312"/>
          <w:sz w:val="36"/>
          <w:szCs w:val="36"/>
          <w:lang w:val="en-US" w:eastAsia="zh-CN"/>
        </w:rPr>
        <w:t>2</w:t>
      </w:r>
      <w:bookmarkStart w:id="1" w:name="_GoBack"/>
      <w:bookmarkEnd w:id="1"/>
      <w:r>
        <w:rPr>
          <w:rFonts w:hint="eastAsia" w:ascii="仿宋_GB2312" w:eastAsia="仿宋_GB2312"/>
          <w:sz w:val="36"/>
          <w:szCs w:val="36"/>
        </w:rPr>
        <w:t>年10月</w:t>
      </w: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广东茂名幼儿师范专科学校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级旅游管理专业人才培养方案</w:t>
      </w:r>
    </w:p>
    <w:p>
      <w:pPr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一、专业名称</w:t>
      </w:r>
      <w:r>
        <w:rPr>
          <w:rStyle w:val="7"/>
          <w:rFonts w:ascii="宋体" w:hAnsi="宋体"/>
          <w:szCs w:val="21"/>
        </w:rPr>
        <w:t>(</w:t>
      </w:r>
      <w:r>
        <w:rPr>
          <w:rStyle w:val="7"/>
          <w:rFonts w:hint="eastAsia" w:ascii="宋体" w:hAnsi="宋体"/>
          <w:szCs w:val="21"/>
        </w:rPr>
        <w:t>代码</w:t>
      </w:r>
      <w:r>
        <w:rPr>
          <w:rStyle w:val="7"/>
          <w:rFonts w:ascii="宋体" w:hAnsi="宋体"/>
          <w:szCs w:val="21"/>
        </w:rPr>
        <w:t>)</w:t>
      </w:r>
      <w:r>
        <w:rPr>
          <w:rStyle w:val="7"/>
          <w:rFonts w:hint="eastAsia" w:ascii="宋体" w:hAnsi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1.专业代码：540101 </w:t>
      </w:r>
    </w:p>
    <w:p>
      <w:pPr>
        <w:spacing w:line="360" w:lineRule="auto"/>
        <w:ind w:firstLine="840" w:firstLineChars="4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>2.专业名称：旅游管理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二、入学要求</w:t>
      </w:r>
    </w:p>
    <w:p>
      <w:pPr>
        <w:spacing w:line="360" w:lineRule="auto"/>
        <w:ind w:firstLine="420" w:firstLineChars="200"/>
        <w:rPr>
          <w:rStyle w:val="7"/>
          <w:rFonts w:ascii="宋体" w:hAnsi="宋体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</w:rPr>
        <w:t>普通高级中学毕业、中等职业学校毕业或具备同等学力</w:t>
      </w: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三、基本修业年限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三年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四、职业面向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b/>
          <w:szCs w:val="21"/>
        </w:rPr>
        <w:t>(</w:t>
      </w:r>
      <w:r>
        <w:rPr>
          <w:rFonts w:hint="eastAsia"/>
          <w:b/>
          <w:szCs w:val="21"/>
        </w:rPr>
        <w:t>一) 职业面向</w:t>
      </w:r>
    </w:p>
    <w:tbl>
      <w:tblPr>
        <w:tblStyle w:val="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51"/>
        <w:gridCol w:w="850"/>
        <w:gridCol w:w="1843"/>
        <w:gridCol w:w="212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所属专业大类</w:t>
            </w:r>
          </w:p>
          <w:p>
            <w:pPr>
              <w:spacing w:line="52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所属专业类</w:t>
            </w:r>
          </w:p>
        </w:tc>
        <w:tc>
          <w:tcPr>
            <w:tcW w:w="850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对应行业</w:t>
            </w:r>
          </w:p>
        </w:tc>
        <w:tc>
          <w:tcPr>
            <w:tcW w:w="1843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主要职业类别</w:t>
            </w:r>
          </w:p>
        </w:tc>
        <w:tc>
          <w:tcPr>
            <w:tcW w:w="2126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主要岗位类别（或技术领域）举例</w:t>
            </w:r>
          </w:p>
        </w:tc>
        <w:tc>
          <w:tcPr>
            <w:tcW w:w="2268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职业资格（职业技术等级）证书举例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旅游大类</w:t>
            </w:r>
          </w:p>
        </w:tc>
        <w:tc>
          <w:tcPr>
            <w:tcW w:w="851" w:type="dxa"/>
          </w:tcPr>
          <w:p>
            <w:pPr>
              <w:spacing w:line="52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旅游类</w:t>
            </w:r>
          </w:p>
        </w:tc>
        <w:tc>
          <w:tcPr>
            <w:tcW w:w="850" w:type="dxa"/>
          </w:tcPr>
          <w:p>
            <w:pPr>
              <w:spacing w:line="52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商务服务业</w:t>
            </w:r>
          </w:p>
        </w:tc>
        <w:tc>
          <w:tcPr>
            <w:tcW w:w="1843" w:type="dxa"/>
          </w:tcPr>
          <w:p>
            <w:pPr>
              <w:spacing w:line="52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旅行社、景区及其他旅游企业服务与管理人员</w:t>
            </w:r>
          </w:p>
        </w:tc>
        <w:tc>
          <w:tcPr>
            <w:tcW w:w="2126" w:type="dxa"/>
          </w:tcPr>
          <w:p>
            <w:pPr>
              <w:spacing w:line="52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导游、计领队、计调、销售、客服、，旅游定制师、研学导师、旅游企业业务主管</w:t>
            </w:r>
          </w:p>
        </w:tc>
        <w:tc>
          <w:tcPr>
            <w:tcW w:w="2268" w:type="dxa"/>
          </w:tcPr>
          <w:p>
            <w:pPr>
              <w:spacing w:line="52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导游资格证、研学旅行策划与挂合理（E</w:t>
            </w:r>
            <w:r>
              <w:rPr>
                <w:rFonts w:ascii="宋体" w:hAnsi="宋体" w:cs="宋体"/>
                <w:bCs/>
                <w:szCs w:val="21"/>
              </w:rPr>
              <w:t>EPM</w:t>
            </w:r>
            <w:r>
              <w:rPr>
                <w:rFonts w:hint="eastAsia" w:ascii="宋体" w:hAnsi="宋体" w:cs="宋体"/>
                <w:bCs/>
                <w:szCs w:val="21"/>
              </w:rPr>
              <w:t>）职业技能等级证书、研学旅行课程设计与实施职业技能等级证书、旅行策划职业技能等级证书</w:t>
            </w:r>
          </w:p>
        </w:tc>
      </w:tr>
    </w:tbl>
    <w:p>
      <w:pPr>
        <w:spacing w:line="360" w:lineRule="auto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(二) 职业岗位群和核心能力分析</w:t>
      </w:r>
    </w:p>
    <w:tbl>
      <w:tblPr>
        <w:tblStyle w:val="120"/>
        <w:tblW w:w="9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2562"/>
        <w:gridCol w:w="2835"/>
        <w:gridCol w:w="2268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岗位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岗位能力要求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岗位职责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导出课程</w:t>
            </w:r>
          </w:p>
        </w:tc>
        <w:tc>
          <w:tcPr>
            <w:tcW w:w="1703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综合开设课程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导游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游客组织能力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良好的记忆能力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较强的应变能力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良好的语言表达能力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较强的公关应变能力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良好的组织协调能力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组织游客集合；2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负责为游客导游</w:t>
            </w:r>
            <w:r>
              <w:rPr>
                <w:rFonts w:ascii="宋体" w:hAnsi="宋体" w:cs="宋体"/>
                <w:bCs/>
                <w:szCs w:val="21"/>
              </w:rPr>
              <w:t>、</w:t>
            </w:r>
            <w:r>
              <w:rPr>
                <w:rFonts w:hint="eastAsia" w:ascii="宋体" w:hAnsi="宋体" w:cs="宋体"/>
                <w:bCs/>
                <w:szCs w:val="21"/>
              </w:rPr>
              <w:t>讲解；3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配合和监督有关单位安排游客的交通和食宿；4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保护游客的人身财务安全；5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协助处理游客旅游过程中产生的问题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6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完成旅程</w:t>
            </w:r>
            <w:r>
              <w:rPr>
                <w:rFonts w:ascii="宋体" w:hAnsi="宋体" w:cs="宋体"/>
                <w:bCs/>
                <w:szCs w:val="21"/>
              </w:rPr>
              <w:t>，</w:t>
            </w:r>
            <w:r>
              <w:rPr>
                <w:rFonts w:hint="eastAsia" w:ascii="宋体" w:hAnsi="宋体" w:cs="宋体"/>
                <w:bCs/>
                <w:szCs w:val="21"/>
              </w:rPr>
              <w:t>带领游客安全返程</w:t>
            </w:r>
            <w:r>
              <w:rPr>
                <w:rFonts w:ascii="宋体" w:hAnsi="宋体" w:cs="宋体"/>
                <w:bCs/>
                <w:szCs w:val="21"/>
              </w:rPr>
              <w:t>。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《旅游学概论》、《地方导游基础知识》、《全国导游基础知识》、《导游业务》、《旅游英语》、《导游技巧与实训》、《研学旅游》、《旅游政策与法规》</w:t>
            </w:r>
          </w:p>
        </w:tc>
        <w:tc>
          <w:tcPr>
            <w:tcW w:w="1703" w:type="dxa"/>
            <w:vMerge w:val="restart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管理学基础》、《旅游概论》、《旅游政策与法规》、《旅游职业礼仪》、《旅游历史文化》、《中国旅游地理》、《客源地与目的地概况》、《旅游心理学》、《旅行社经营与管理》、《旅游英语》、《酒店经营与管理》、《景区服务与管理》、《旅游电子商务》、《旅游策划理论与实务》、《旅游新媒体营销》、《旅游新媒体营销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计调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了解和收集供求信息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设计旅游产品的能力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制定团队计划和编制团队动态表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应急处理能力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具有一定的财务计算能力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具有良好的沟通和协调能力</w:t>
            </w:r>
            <w:r>
              <w:rPr>
                <w:rFonts w:ascii="宋体" w:hAnsi="宋体" w:cs="宋体"/>
                <w:bCs/>
                <w:szCs w:val="21"/>
              </w:rPr>
              <w:t>；</w:t>
            </w:r>
            <w:r>
              <w:rPr>
                <w:rFonts w:hint="eastAsia" w:ascii="宋体" w:hAnsi="宋体" w:cs="宋体"/>
                <w:bCs/>
                <w:szCs w:val="21"/>
              </w:rPr>
              <w:t>掌握办公软件的基本技能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仿宋" w:hAnsi="仿宋" w:eastAsia="仿宋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广泛搜集旅游市场信息；2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制定和完善旅行社旅游线路；3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安排游客的吃住行活动；4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旅程结束</w:t>
            </w:r>
            <w:r>
              <w:rPr>
                <w:rFonts w:ascii="宋体" w:hAnsi="宋体" w:cs="宋体"/>
                <w:bCs/>
                <w:szCs w:val="21"/>
              </w:rPr>
              <w:t>，</w:t>
            </w:r>
            <w:r>
              <w:rPr>
                <w:rFonts w:hint="eastAsia" w:ascii="宋体" w:hAnsi="宋体" w:cs="宋体"/>
                <w:bCs/>
                <w:szCs w:val="21"/>
              </w:rPr>
              <w:t>核对导游与司机的报账账目；5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按规定整理公司团队资料进行归档；6</w:t>
            </w:r>
            <w:r>
              <w:rPr>
                <w:rFonts w:ascii="宋体" w:hAnsi="宋体" w:cs="宋体"/>
                <w:bCs/>
                <w:szCs w:val="21"/>
              </w:rPr>
              <w:t>.</w:t>
            </w:r>
            <w:r>
              <w:rPr>
                <w:rFonts w:hint="eastAsia" w:ascii="宋体" w:hAnsi="宋体" w:cs="宋体"/>
                <w:bCs/>
                <w:szCs w:val="21"/>
              </w:rPr>
              <w:t>加强与其他部门和外界的联系</w:t>
            </w:r>
            <w:r>
              <w:rPr>
                <w:rFonts w:ascii="宋体" w:hAnsi="宋体" w:cs="宋体"/>
                <w:bCs/>
                <w:szCs w:val="21"/>
              </w:rPr>
              <w:t>。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《旅行社经营与管理》、《酒店经营与管理》、《景区服务与管理》、《旅游资源开发与管理》、《旅游路线规划与设计》</w:t>
            </w:r>
          </w:p>
        </w:tc>
        <w:tc>
          <w:tcPr>
            <w:tcW w:w="1703" w:type="dxa"/>
            <w:vMerge w:val="continue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旅游营销策划</w:t>
            </w:r>
          </w:p>
        </w:tc>
        <w:tc>
          <w:tcPr>
            <w:tcW w:w="2562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掌握旅游</w:t>
            </w:r>
            <w:r>
              <w:rPr>
                <w:rFonts w:ascii="宋体" w:hAnsi="宋体" w:cs="宋体"/>
                <w:bCs/>
                <w:szCs w:val="21"/>
              </w:rPr>
              <w:t>营销管的相关知识</w:t>
            </w:r>
            <w:r>
              <w:rPr>
                <w:rFonts w:hint="eastAsia" w:ascii="宋体" w:hAnsi="宋体" w:cs="宋体"/>
                <w:bCs/>
                <w:szCs w:val="21"/>
              </w:rPr>
              <w:t>；具备细分市场并选定目标市场的知识与能力；掌握市场调研方法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1、旅游市场分析；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2、旅游营销计划的制定；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3、营销组合的确定；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4、旅游营销管理工作；</w:t>
            </w:r>
          </w:p>
          <w:p>
            <w:pPr>
              <w:spacing w:line="4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5、旅游活动策划；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《旅游电子商务》、《</w:t>
            </w:r>
            <w:r>
              <w:rPr>
                <w:rFonts w:hint="eastAsia" w:ascii="宋体" w:hAnsi="宋体" w:cs="宋体"/>
                <w:bCs/>
                <w:szCs w:val="21"/>
              </w:rPr>
              <w:t>旅游</w:t>
            </w:r>
            <w:r>
              <w:rPr>
                <w:rFonts w:ascii="宋体" w:hAnsi="宋体" w:cs="宋体"/>
                <w:bCs/>
                <w:szCs w:val="21"/>
              </w:rPr>
              <w:t>新媒体</w:t>
            </w:r>
            <w:r>
              <w:rPr>
                <w:rFonts w:hint="eastAsia" w:ascii="宋体" w:hAnsi="宋体" w:cs="宋体"/>
                <w:bCs/>
                <w:szCs w:val="21"/>
              </w:rPr>
              <w:t>营销》、《旅游策划理论与实务》</w:t>
            </w:r>
          </w:p>
        </w:tc>
        <w:tc>
          <w:tcPr>
            <w:tcW w:w="1703" w:type="dxa"/>
            <w:vMerge w:val="continue"/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52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旅游顾问</w:t>
            </w:r>
          </w:p>
        </w:tc>
        <w:tc>
          <w:tcPr>
            <w:tcW w:w="2562" w:type="dxa"/>
            <w:shd w:val="clear" w:color="auto" w:fill="auto"/>
          </w:tcPr>
          <w:p>
            <w:pPr>
              <w:widowControl/>
              <w:shd w:val="clear" w:color="auto" w:fill="FFFEFE"/>
              <w:jc w:val="left"/>
              <w:rPr>
                <w:rFonts w:hint="eastAsia" w:ascii="Helvetica Neue" w:hAnsi="Helvetica Neue" w:cs="宋体"/>
                <w:color w:val="333333"/>
                <w:kern w:val="0"/>
                <w:szCs w:val="21"/>
              </w:rPr>
            </w:pP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有工作职责感</w:t>
            </w:r>
            <w:r>
              <w:rPr>
                <w:rFonts w:hint="eastAsia" w:ascii="Helvetica Neue" w:hAnsi="Helvetica Neue" w:cs="宋体"/>
                <w:color w:val="333333"/>
                <w:kern w:val="0"/>
                <w:szCs w:val="21"/>
              </w:rPr>
              <w:t>，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具备独立工作能力和团队协作精神</w:t>
            </w:r>
            <w:r>
              <w:rPr>
                <w:rFonts w:hint="eastAsia" w:ascii="Helvetica Neue" w:hAnsi="Helvetica Neue" w:cs="宋体"/>
                <w:color w:val="333333"/>
                <w:kern w:val="0"/>
                <w:szCs w:val="21"/>
              </w:rPr>
              <w:t>；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学习能力强，工作认真仔细，能承受一定工作压力，服从公司规章制度</w:t>
            </w:r>
            <w:r>
              <w:rPr>
                <w:rFonts w:hint="eastAsia" w:ascii="Helvetica Neue" w:hAnsi="Helvetica Neue" w:cs="宋体"/>
                <w:color w:val="333333"/>
                <w:kern w:val="0"/>
                <w:szCs w:val="21"/>
              </w:rPr>
              <w:t>；熟悉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计算机操作、表单制作</w:t>
            </w:r>
            <w:r>
              <w:rPr>
                <w:rFonts w:hint="eastAsia" w:ascii="Helvetica Neue" w:hAnsi="Helvetica Neue" w:cs="宋体"/>
                <w:color w:val="333333"/>
                <w:kern w:val="0"/>
                <w:szCs w:val="21"/>
              </w:rPr>
              <w:t>等</w:t>
            </w:r>
            <w:r>
              <w:rPr>
                <w:rFonts w:ascii="Helvetica Neue" w:hAnsi="Helvetica Neue" w:cs="宋体"/>
                <w:color w:val="333333"/>
                <w:kern w:val="0"/>
                <w:szCs w:val="21"/>
              </w:rPr>
              <w:t>。</w:t>
            </w:r>
          </w:p>
        </w:tc>
        <w:tc>
          <w:tcPr>
            <w:tcW w:w="2835" w:type="dxa"/>
            <w:shd w:val="clear" w:color="auto" w:fill="auto"/>
          </w:tcPr>
          <w:p>
            <w:pPr>
              <w:widowControl/>
              <w:shd w:val="clear" w:color="auto" w:fill="FFFEFE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  <w:r>
              <w:rPr>
                <w:rFonts w:ascii="宋体" w:hAnsi="宋体" w:cs="宋体"/>
                <w:bCs/>
                <w:szCs w:val="21"/>
              </w:rPr>
              <w:t>.接待客户咨询</w:t>
            </w:r>
            <w:r>
              <w:rPr>
                <w:rFonts w:hint="eastAsia" w:ascii="宋体" w:hAnsi="宋体" w:cs="宋体"/>
                <w:bCs/>
                <w:szCs w:val="21"/>
              </w:rPr>
              <w:t>；2</w:t>
            </w:r>
            <w:r>
              <w:rPr>
                <w:rFonts w:ascii="宋体" w:hAnsi="宋体" w:cs="宋体"/>
                <w:bCs/>
                <w:szCs w:val="21"/>
              </w:rPr>
              <w:t>.推荐产品，为客户提供专业的服务，促成顾客愉快地下单</w:t>
            </w:r>
            <w:r>
              <w:rPr>
                <w:rFonts w:hint="eastAsia" w:ascii="宋体" w:hAnsi="宋体" w:cs="宋体"/>
                <w:bCs/>
                <w:szCs w:val="21"/>
              </w:rPr>
              <w:t>；3</w:t>
            </w:r>
            <w:r>
              <w:rPr>
                <w:rFonts w:ascii="宋体" w:hAnsi="宋体" w:cs="宋体"/>
                <w:bCs/>
                <w:szCs w:val="21"/>
              </w:rPr>
              <w:t>.定期与潜在客户、进行电话、邮件回访，了解客户意向，维护客户关系</w:t>
            </w:r>
            <w:r>
              <w:rPr>
                <w:rFonts w:hint="eastAsia" w:ascii="宋体" w:hAnsi="宋体" w:cs="宋体"/>
                <w:bCs/>
                <w:szCs w:val="21"/>
              </w:rPr>
              <w:t>；4</w:t>
            </w:r>
            <w:r>
              <w:rPr>
                <w:rFonts w:ascii="宋体" w:hAnsi="宋体" w:cs="宋体"/>
                <w:bCs/>
                <w:szCs w:val="21"/>
              </w:rPr>
              <w:t>.帮助顾客查询订单，积极处理售后问题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《旅游电子商务》、《旅游新媒体营销》、《旅游心理学》</w:t>
            </w:r>
          </w:p>
        </w:tc>
        <w:tc>
          <w:tcPr>
            <w:tcW w:w="1703" w:type="dxa"/>
            <w:vMerge w:val="continue"/>
            <w:shd w:val="clear" w:color="auto" w:fill="auto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spacing w:line="360" w:lineRule="auto"/>
        <w:ind w:firstLine="417" w:firstLineChars="198"/>
        <w:rPr>
          <w:rStyle w:val="7"/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</w:t>
      </w:r>
      <w:r>
        <w:rPr>
          <w:rFonts w:hint="eastAsia" w:ascii="宋体" w:hAnsi="宋体"/>
          <w:szCs w:val="21"/>
        </w:rPr>
        <w:t>、</w:t>
      </w:r>
      <w:r>
        <w:rPr>
          <w:rStyle w:val="7"/>
          <w:rFonts w:hint="eastAsia" w:ascii="宋体" w:hAnsi="宋体"/>
          <w:szCs w:val="21"/>
        </w:rPr>
        <w:t>培养目标</w:t>
      </w:r>
    </w:p>
    <w:p>
      <w:pPr>
        <w:spacing w:line="360" w:lineRule="auto"/>
        <w:ind w:firstLine="415" w:firstLineChars="198"/>
        <w:rPr>
          <w:rFonts w:ascii="宋体" w:hAnsi="宋体"/>
          <w:b/>
          <w:szCs w:val="21"/>
        </w:rPr>
      </w:pPr>
      <w:r>
        <w:rPr>
          <w:rFonts w:hint="eastAsia" w:ascii="宋体" w:hAnsi="宋体" w:cs="Arial"/>
          <w:kern w:val="0"/>
          <w:szCs w:val="21"/>
        </w:rPr>
        <w:t>本专业培养德智体美劳全面发展，掌握扎实的科学文化基础和文旅融合、“旅游+” 行业前沿、接待服务、项目策划、产品设计、数字营销及相关法律法规等知识，具备服务质量管理、客户关系管理、部门运营管理等能力，具有服务意识、人文素养和信息素养能够从事旅游咨询、旅游产品策划、旅游数字营销、目的地运营管理等工作的高素质技术技能人才。</w:t>
      </w:r>
    </w:p>
    <w:p>
      <w:pPr>
        <w:spacing w:line="360" w:lineRule="auto"/>
        <w:ind w:firstLine="417" w:firstLineChars="198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六、</w:t>
      </w:r>
      <w:r>
        <w:rPr>
          <w:rStyle w:val="7"/>
          <w:rFonts w:hint="eastAsia" w:ascii="宋体" w:hAnsi="宋体"/>
          <w:szCs w:val="21"/>
        </w:rPr>
        <w:t>培养规格</w:t>
      </w:r>
    </w:p>
    <w:p>
      <w:pPr>
        <w:spacing w:line="400" w:lineRule="exact"/>
        <w:ind w:firstLine="435"/>
        <w:rPr>
          <w:b/>
        </w:rPr>
      </w:pPr>
      <w:r>
        <w:rPr>
          <w:rFonts w:hint="eastAsia"/>
          <w:b/>
        </w:rPr>
        <w:t>（一）素质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思想政治素质：热爱祖国，拥护共产党的领导，拥护社会主义制度，积极践行社会主义核心价值观，有正确的世界观、人生观、价值观，遵纪守法，为人正直诚实，具有良好的职业道德和公共道德；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文化素质：具有良好的文化基础和文学修养；善于自学，同时关注本行业研究的新动向，善于吸收外域文化，不断更新知识；具有社会交往、处理公共关系的基本能力；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职业素质：具有爱岗敬业、遵纪守法、团结协作的品质，有工匠精神，有创新创业的意识，有严谨务实、灵活变通的工作作风；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身心素质：拥有健康的体魄，养成良好的体育锻炼和个人卫生习惯，具备健全的心理和乐观的人生态度。</w:t>
      </w:r>
    </w:p>
    <w:p>
      <w:pPr>
        <w:spacing w:line="400" w:lineRule="exact"/>
        <w:ind w:firstLine="316" w:firstLineChars="150"/>
        <w:rPr>
          <w:b/>
        </w:rPr>
      </w:pPr>
      <w:r>
        <w:rPr>
          <w:rFonts w:hint="eastAsia"/>
          <w:b/>
        </w:rPr>
        <w:t xml:space="preserve">（二）知识 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掌握本专业培养目标所要求的基础理论知识、专业知识和技能；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掌握现代旅游企业经营管理的理论、方法和手段；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掌握旅行社经营管理、旅游规划与开发等基础理论； 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熟练掌握导游基础知识、导游服务规范及导游基本技能；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熟悉我国旅游业发展的方针、政策和法规；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掌握酒店管理的理论知识、具备高星级酒店前厅、餐饮、客房等部门的服务技能和管理能力；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掌握饮食营养与卫生的基础理论和基本技能；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掌握旅游职业道德的基础知识和礼仪常识。</w:t>
      </w:r>
    </w:p>
    <w:p>
      <w:pPr>
        <w:numPr>
          <w:ilvl w:val="0"/>
          <w:numId w:val="3"/>
        </w:numPr>
        <w:ind w:firstLine="316" w:firstLineChars="150"/>
        <w:rPr>
          <w:b/>
        </w:rPr>
      </w:pPr>
      <w:r>
        <w:rPr>
          <w:rFonts w:hint="eastAsia"/>
          <w:b/>
        </w:rPr>
        <w:t>能力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具有良好的语言和文字表达能力，良好的沟通和合作能力；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具有处理旅游服务中常见问题的能力，具备应对旅游突发事件的能力；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具有旅游接待服务、产品设计、项目策划、数字营销等能力；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具有服务质量控制、客户关系维护、部门运营等旅游企业管理能力；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具有践行旅游政策法规及行业标准、绿色生产、安全防护等能力；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具有适应旅游产业数字化发展的能力；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具有安全管理和公共卫生突发事件应对的能力；</w:t>
      </w:r>
    </w:p>
    <w:p>
      <w:pPr>
        <w:pStyle w:val="14"/>
        <w:numPr>
          <w:ilvl w:val="0"/>
          <w:numId w:val="4"/>
        </w:numPr>
        <w:spacing w:line="360" w:lineRule="auto"/>
        <w:ind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具有探究学习、终身学习和可持续发展的能力。</w:t>
      </w: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七、毕业要求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1．毕业要求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（1）毕业总学分不得低于154学分，必修学分131学分，选修学分不低于23学分。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（2）项目替代学分。比赛获奖、考证、参加项目开发等根据专业认定可以替换专业非核心岗位课程学分。替换学分不得超过20学分。</w:t>
      </w:r>
    </w:p>
    <w:p>
      <w:pPr>
        <w:spacing w:line="360" w:lineRule="auto"/>
        <w:ind w:firstLine="415" w:firstLineChars="19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校期间参与项目开发每周可替换非专业核心课1学分，但累计不得超过10学分；参与专业技能竞赛最多可替换非专业核心课5学分（省级一等奖、二等奖、三等奖分别可替换3学分、2学分、1学分；国家级一等奖、二等奖、三等奖分别可替换5学分、4学分、3学分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158"/>
        <w:gridCol w:w="6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6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技能竞赛类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教育行政主管部门组织的竞赛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其他行业协会或社会组织的竞赛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校级竞赛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项目开发类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自主实施的项目开发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提供合作企业证明文件、工商登记证明等有效证明文件由专业负责人认定可替换学分。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职业资格证书类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人力资源和社会保障系统职业资格证书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驾照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取得驾驶证可替换2学分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发明专利</w:t>
            </w: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发明专利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发明专利</w:t>
            </w:r>
            <w:r>
              <w:rPr>
                <w:rFonts w:hint="eastAsia" w:ascii="宋体" w:hAnsi="宋体"/>
                <w:szCs w:val="21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实用新型专利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实用新型专利</w:t>
            </w:r>
            <w:r>
              <w:rPr>
                <w:rFonts w:hint="eastAsia" w:ascii="宋体" w:hAnsi="宋体"/>
                <w:szCs w:val="21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continue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58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外观设计专利</w:t>
            </w:r>
          </w:p>
        </w:tc>
        <w:tc>
          <w:tcPr>
            <w:tcW w:w="6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取得</w:t>
            </w:r>
            <w:r>
              <w:rPr>
                <w:rFonts w:ascii="宋体" w:hAnsi="宋体"/>
                <w:szCs w:val="21"/>
              </w:rPr>
              <w:t>外观设计专利</w:t>
            </w:r>
            <w:r>
              <w:rPr>
                <w:rFonts w:hint="eastAsia" w:ascii="宋体" w:hAnsi="宋体"/>
                <w:szCs w:val="21"/>
              </w:rPr>
              <w:t>可替换4学分</w:t>
            </w:r>
          </w:p>
        </w:tc>
      </w:tr>
    </w:tbl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2．考证要求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(1)导游资格证书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(2)新媒体技术职业技能等级证书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(3)研学旅行策划与管理（EEPM）职业技能等级证书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(4)现代酒店服务质量管理职业技能等级证书</w:t>
      </w:r>
    </w:p>
    <w:p>
      <w:pPr>
        <w:spacing w:line="360" w:lineRule="auto"/>
        <w:ind w:firstLine="417" w:firstLineChars="198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八、课程设置及学时安排</w:t>
      </w:r>
    </w:p>
    <w:p>
      <w:pPr>
        <w:spacing w:line="360" w:lineRule="exact"/>
        <w:ind w:firstLine="420"/>
        <w:outlineLvl w:val="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（一）课程设置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主要包括公共基础课程和专业课程。</w:t>
      </w:r>
    </w:p>
    <w:p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公共基础课程一般包括思想政治理论课、军事课、大学英语、体育、心理健康、就业指导、创新创业、职业素质等方面的课程或专题讲座（活动）。</w:t>
      </w:r>
    </w:p>
    <w:p>
      <w:pPr>
        <w:numPr>
          <w:ilvl w:val="0"/>
          <w:numId w:val="5"/>
        </w:num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课一般包括专业基础课程、专业核心课程、专业拓展课程，并涵盖有关实践性教学环节。专业课分三个岗位方向，分别为对接旅行社计调及接待服务岗位、旅游景区运营管理岗位、研学旅行课程设计岗位，不同岗位核心课程不同。学生可以根据自己的个性特点选择对应岗位。学生在第二学期末进行岗位的选择，从第三学期开始按所选岗位进行上课。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专业基础课程举例：《管理学原理》、《旅游学概论》、《导游业务》、《旅游政策与法规》、《全国导游基础知识》等。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专业核心课程举例：《旅行社经营与管理》、《景区服务与管理》、《酒店经营与管理》、《旅游电子商务》、《旅游策划理论与实务》、《旅游新媒体营销》等。</w:t>
      </w:r>
    </w:p>
    <w:p>
      <w:p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专业拓展课举例：《宴会设计与宴会服务》、《调酒与咖啡》、《导游词创作与讲解》。</w:t>
      </w:r>
    </w:p>
    <w:p>
      <w:pPr>
        <w:numPr>
          <w:ilvl w:val="0"/>
          <w:numId w:val="5"/>
        </w:numPr>
        <w:spacing w:line="400" w:lineRule="exact"/>
        <w:ind w:firstLine="42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专业核心课程名称及主要教学内容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424"/>
        <w:gridCol w:w="6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2424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专业核心课名称</w:t>
            </w:r>
          </w:p>
        </w:tc>
        <w:tc>
          <w:tcPr>
            <w:tcW w:w="6241" w:type="dxa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24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《旅行社经营与管理》</w:t>
            </w:r>
          </w:p>
        </w:tc>
        <w:tc>
          <w:tcPr>
            <w:tcW w:w="6241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让学生掌握旅行社计调部门的操作程序及业务管理知识，同时锻炼其职业素养和岗位技能，提升一定的创新能力。根据客户需求，科学设计旅游产品:收集旅游目的以及相关供应商的资源供给情况，并能落实采购项目:根据国内接待计调、国内组团计调等操作流程，落实出团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24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《景区服务与管理》</w:t>
            </w:r>
          </w:p>
        </w:tc>
        <w:tc>
          <w:tcPr>
            <w:tcW w:w="6241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让学生掌握景区服务的操作程序与专业知识，并培养学生旅游景区服务人员和基层管理人员的相关能力。准确判断景区类型:合理设计景区内部</w:t>
            </w:r>
          </w:p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游览线路;熟悉景区服务内容和服务规范，熟练掌握景区接待、票务销售等基本技能:策划简单的营销策划方案、人力资源管理方案与游客管理方案等。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242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《酒店经营与管理》</w:t>
            </w:r>
          </w:p>
        </w:tc>
        <w:tc>
          <w:tcPr>
            <w:tcW w:w="6241" w:type="dxa"/>
          </w:tcPr>
          <w:p>
            <w:pPr>
              <w:spacing w:line="3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过“前厅运营管理、客房运营管理、餐饮运营管理、人力资源管理、市场销售管理、服务质量管理”等项目的学习，使学生熟悉酒店的业务流程和管理程序，掌握酒店运营基本技能。酒店运营理论概述:前厅运营实践;客房运营实践:餐饮运营实践;人力资源运营实践;市场销售运营实践;工程安保部运营实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</w:t>
            </w:r>
          </w:p>
        </w:tc>
        <w:tc>
          <w:tcPr>
            <w:tcW w:w="24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《旅游电子商务》</w:t>
            </w:r>
          </w:p>
        </w:tc>
        <w:tc>
          <w:tcPr>
            <w:tcW w:w="6241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培养学生旅游电子商务平台管理与运营技能、在线销售技能，以及旅游信息系统操作技能。旅游电子商务特点及运营模式:对旅行社网站、旅游目的地网站进行注册、发布、营销与推广:运用软件包装旅游产品;运用新媒体营销旅游产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</w:t>
            </w:r>
          </w:p>
        </w:tc>
        <w:tc>
          <w:tcPr>
            <w:tcW w:w="24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《旅游策划理论与实务》</w:t>
            </w:r>
          </w:p>
        </w:tc>
        <w:tc>
          <w:tcPr>
            <w:tcW w:w="6241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本课程系统阐述了旅游策划的基础知识、基本理论和操作方法。主要包括旅游策划导论、旅游策划的原则和技巧、旅游战略策划、旅游创意策划、旅游产品策划、旅游形象策划、旅游营销策划、旅游演艺策划、旅游节庆策划、旅游广告策划、旅游公共关系策划等章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</w:t>
            </w:r>
          </w:p>
        </w:tc>
        <w:tc>
          <w:tcPr>
            <w:tcW w:w="242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《旅游新媒体营销》</w:t>
            </w:r>
          </w:p>
        </w:tc>
        <w:tc>
          <w:tcPr>
            <w:tcW w:w="6241" w:type="dxa"/>
          </w:tcPr>
          <w:p>
            <w:pPr>
              <w:spacing w:line="360" w:lineRule="exac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让学生了解新媒体营销的基本概念，掌握文案策划与撰写技巧;掌握短视频拍摄与制作技能;掌握头条号、微信公众号等新媒体平台的营销技能。新媒体营销的基本概念;新媒体主流平台的操作规则和业务流程:新媒体的引流、维护与变现的知识;综合项目应用与实践。</w:t>
            </w:r>
          </w:p>
        </w:tc>
      </w:tr>
    </w:tbl>
    <w:p>
      <w:pPr>
        <w:spacing w:line="400" w:lineRule="exact"/>
        <w:rPr>
          <w:rFonts w:ascii="宋体" w:hAnsi="宋体"/>
          <w:b/>
        </w:rPr>
      </w:pP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实践性教学环节主要包括顶岗实习、软件开发项目实训、社会实践、毕业项目综合实训、创新创业实践等。</w:t>
      </w:r>
    </w:p>
    <w:p>
      <w:pPr>
        <w:spacing w:line="360" w:lineRule="exact"/>
        <w:ind w:firstLine="420"/>
        <w:outlineLvl w:val="0"/>
        <w:rPr>
          <w:rFonts w:ascii="宋体" w:hAnsi="宋体"/>
          <w:bCs/>
        </w:rPr>
      </w:pPr>
    </w:p>
    <w:p>
      <w:pPr>
        <w:spacing w:line="360" w:lineRule="auto"/>
        <w:ind w:firstLine="417" w:firstLineChars="198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(二) 学时安排</w:t>
      </w:r>
    </w:p>
    <w:p>
      <w:pPr>
        <w:spacing w:line="400" w:lineRule="exact"/>
        <w:ind w:firstLine="42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本专业总学时为2565学时，其中实践性教学学时为1374学时，占总学时的53.57% 。其中，顶岗实习为6个月，约252学时。</w:t>
      </w: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5492750" cy="3225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275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27" w:firstLineChars="2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九、教学基本条件</w:t>
      </w: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（一）教师队伍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1.专任教师</w:t>
      </w: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专任教师一览表</w:t>
      </w: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73"/>
        <w:gridCol w:w="545"/>
        <w:gridCol w:w="992"/>
        <w:gridCol w:w="1282"/>
        <w:gridCol w:w="1091"/>
        <w:gridCol w:w="144"/>
        <w:gridCol w:w="1032"/>
        <w:gridCol w:w="672"/>
        <w:gridCol w:w="419"/>
        <w:gridCol w:w="1175"/>
        <w:gridCol w:w="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bookmarkStart w:id="0" w:name="_Hlk116888481"/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职称、职务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学历学位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是否双师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冼周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副教授、院长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彭章宏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讲师、副院长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谢红虹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讲师、综合办公室主任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李德伟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副教授、专任教师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黄寿佳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战赤嘉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黄琳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郭飞羽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讲师、专任教师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王颖君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黎思琪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吴志丽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李知恒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李超斌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杨思雅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江尉昀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研究生硕士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严丽璇</w:t>
            </w:r>
          </w:p>
        </w:tc>
        <w:tc>
          <w:tcPr>
            <w:tcW w:w="35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助教、专任教师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789"/>
              </w:tabs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本科学士</w:t>
            </w:r>
          </w:p>
        </w:tc>
        <w:tc>
          <w:tcPr>
            <w:tcW w:w="16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高级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中级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2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7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12.5%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37.5%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6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35岁以下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35-45岁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45岁以上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56.25%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18.75%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学位结构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博士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硕士（含在读）</w:t>
            </w:r>
          </w:p>
        </w:tc>
        <w:tc>
          <w:tcPr>
            <w:tcW w:w="22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75%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10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双师素质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否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51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0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75" w:hRule="atLeast"/>
        </w:trPr>
        <w:tc>
          <w:tcPr>
            <w:tcW w:w="15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行业企业经历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</w:t>
            </w:r>
          </w:p>
        </w:tc>
        <w:tc>
          <w:tcPr>
            <w:tcW w:w="22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4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比例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9" w:hRule="atLeast"/>
        </w:trPr>
        <w:tc>
          <w:tcPr>
            <w:tcW w:w="15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50%</w:t>
            </w:r>
          </w:p>
        </w:tc>
        <w:tc>
          <w:tcPr>
            <w:tcW w:w="226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Cs w:val="21"/>
              </w:rPr>
            </w:pPr>
          </w:p>
        </w:tc>
      </w:tr>
      <w:bookmarkEnd w:id="0"/>
    </w:tbl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2.兼职教师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旅游管理专业还聘请了企业经验丰富的兼职老师，负责本专业的部分实践教学。</w:t>
      </w:r>
    </w:p>
    <w:p>
      <w:pPr>
        <w:spacing w:line="400" w:lineRule="exact"/>
        <w:ind w:firstLine="420"/>
        <w:rPr>
          <w:rFonts w:ascii="宋体" w:hAnsi="宋体"/>
          <w:szCs w:val="21"/>
        </w:rPr>
      </w:pPr>
    </w:p>
    <w:p>
      <w:pPr>
        <w:spacing w:line="400" w:lineRule="exact"/>
        <w:ind w:firstLine="420"/>
        <w:rPr>
          <w:rFonts w:ascii="宋体" w:hAnsi="宋体"/>
          <w:szCs w:val="21"/>
        </w:rPr>
      </w:pPr>
    </w:p>
    <w:p>
      <w:pPr>
        <w:spacing w:line="400" w:lineRule="exact"/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兼职教师一览表</w:t>
      </w:r>
    </w:p>
    <w:tbl>
      <w:tblPr>
        <w:tblStyle w:val="5"/>
        <w:tblW w:w="9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390"/>
        <w:gridCol w:w="4568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职称职务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陈国斌</w:t>
            </w:r>
          </w:p>
        </w:tc>
        <w:tc>
          <w:tcPr>
            <w:tcW w:w="45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茂名市国际旅行社有限公司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9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</w:p>
        </w:tc>
        <w:tc>
          <w:tcPr>
            <w:tcW w:w="1390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陈晓叶</w:t>
            </w:r>
          </w:p>
        </w:tc>
        <w:tc>
          <w:tcPr>
            <w:tcW w:w="4568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清远美林湖温泉大酒店</w:t>
            </w:r>
          </w:p>
        </w:tc>
        <w:tc>
          <w:tcPr>
            <w:tcW w:w="2802" w:type="dxa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人力资源总监</w:t>
            </w:r>
          </w:p>
        </w:tc>
      </w:tr>
    </w:tbl>
    <w:p>
      <w:pPr>
        <w:spacing w:line="360" w:lineRule="auto"/>
        <w:ind w:firstLine="420" w:firstLineChars="200"/>
        <w:outlineLvl w:val="0"/>
        <w:rPr>
          <w:rStyle w:val="7"/>
          <w:rFonts w:ascii="宋体" w:hAnsi="宋体"/>
          <w:b w:val="0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（二）教学设施</w:t>
      </w:r>
    </w:p>
    <w:p>
      <w:pPr>
        <w:spacing w:line="420" w:lineRule="exact"/>
        <w:ind w:firstLine="420" w:firstLineChars="200"/>
        <w:rPr>
          <w:rFonts w:ascii="宋体" w:hAnsi="宋体"/>
          <w:bCs/>
          <w:position w:val="6"/>
        </w:rPr>
      </w:pPr>
      <w:r>
        <w:rPr>
          <w:rFonts w:hint="eastAsia" w:ascii="宋体" w:hAnsi="宋体"/>
          <w:bCs/>
          <w:position w:val="6"/>
        </w:rPr>
        <w:t>本专业有校内实训基地四个，分别是礼仪实训室、导游实训室、酒店综合实习室、客房实训室。酒店信息系统实训室有一个，可以提供所有上机实训。校外实训基地八个，可以提供学生校外真实项目实训。</w:t>
      </w:r>
    </w:p>
    <w:p>
      <w:pPr>
        <w:spacing w:line="420" w:lineRule="exact"/>
        <w:ind w:firstLine="420" w:firstLineChars="20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bCs/>
          <w:position w:val="6"/>
        </w:rPr>
        <w:t>校内实训基地一览表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516"/>
        <w:gridCol w:w="708"/>
        <w:gridCol w:w="2268"/>
        <w:gridCol w:w="1737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实训室名称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位置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教学科目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实验设备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教学项目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礼仪实训室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茂实B319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《旅游职业礼仪》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形体镜、化妆台等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形象塑造、体态训练等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导游实训室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茂实B321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《模拟导游实训》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形体镜、讲解设备、电脑等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模拟景区导游讲解、处理突发事件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酒店综合实训室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茂实B305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《酒店综合实训》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餐台、餐具、工作台等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前厅接待、宴会台面设计、宴会菜单设计等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客房实训室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荟文2-419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《酒店综合实训》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床、床头柜、床上用品等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客房清洁、客房接待等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01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酒店信息系统实训室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茂实B312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《酒店信息系统》</w:t>
            </w:r>
          </w:p>
        </w:tc>
        <w:tc>
          <w:tcPr>
            <w:tcW w:w="173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电脑、酒店前台系统等</w:t>
            </w:r>
          </w:p>
        </w:tc>
        <w:tc>
          <w:tcPr>
            <w:tcW w:w="20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酒店信息系统概述与运用等</w:t>
            </w:r>
          </w:p>
        </w:tc>
      </w:tr>
    </w:tbl>
    <w:p>
      <w:pPr>
        <w:spacing w:line="420" w:lineRule="exact"/>
        <w:ind w:left="420"/>
        <w:rPr>
          <w:rFonts w:ascii="宋体" w:hAnsi="宋体"/>
          <w:position w:val="6"/>
        </w:rPr>
      </w:pPr>
    </w:p>
    <w:p>
      <w:pPr>
        <w:spacing w:line="420" w:lineRule="exact"/>
        <w:ind w:left="420"/>
        <w:jc w:val="center"/>
        <w:rPr>
          <w:rFonts w:ascii="宋体" w:hAnsi="宋体"/>
          <w:position w:val="6"/>
        </w:rPr>
      </w:pPr>
      <w:r>
        <w:rPr>
          <w:rFonts w:hint="eastAsia" w:ascii="宋体" w:hAnsi="宋体"/>
          <w:position w:val="6"/>
        </w:rPr>
        <w:t>校外实训基地一览表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665"/>
        <w:gridCol w:w="57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名称/合作企业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主要实训内容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广州长隆酒店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珠海长隆酒店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佛山皇冠假日酒店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惠州皇冠假日酒店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5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清远狮子湖喜来登酒店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6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广州天河希尔顿酒店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顺德保利假日酒店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</w:t>
            </w:r>
          </w:p>
        </w:tc>
        <w:tc>
          <w:tcPr>
            <w:tcW w:w="2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东莞富力万达文化酒店</w:t>
            </w:r>
          </w:p>
        </w:tc>
        <w:tc>
          <w:tcPr>
            <w:tcW w:w="5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酒店前厅、客房、餐饮、会议等方面的接待服务、基层督导等方面的实训教学以及学生岗位实习</w:t>
            </w:r>
          </w:p>
        </w:tc>
      </w:tr>
    </w:tbl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</w:p>
    <w:p>
      <w:pPr>
        <w:spacing w:line="360" w:lineRule="auto"/>
        <w:ind w:firstLine="422" w:firstLineChars="200"/>
        <w:outlineLvl w:val="0"/>
        <w:rPr>
          <w:rStyle w:val="7"/>
          <w:rFonts w:ascii="宋体" w:hAnsi="宋体"/>
          <w:szCs w:val="21"/>
        </w:rPr>
      </w:pPr>
      <w:r>
        <w:rPr>
          <w:rStyle w:val="7"/>
          <w:rFonts w:hint="eastAsia" w:ascii="宋体" w:hAnsi="宋体"/>
          <w:szCs w:val="21"/>
        </w:rPr>
        <w:t>（三）教学资源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教材选用有关基本要求：要有教材选用制度，优先从国家和省两级规划教材目录中选用教材，鼓励与行业企业合作开发特色鲜明的专业课校本教材。</w:t>
      </w:r>
    </w:p>
    <w:p>
      <w:pPr>
        <w:numPr>
          <w:ilvl w:val="0"/>
          <w:numId w:val="6"/>
        </w:numPr>
        <w:spacing w:line="400" w:lineRule="exact"/>
        <w:ind w:firstLine="420"/>
        <w:rPr>
          <w:rFonts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图书配备有关基本要求：要有足够数量的，能满足教师学习、教师专业教学研究和教学实施的图书库。</w:t>
      </w:r>
    </w:p>
    <w:p>
      <w:pPr>
        <w:spacing w:line="400" w:lineRule="exact"/>
        <w:ind w:firstLine="420" w:firstLineChars="200"/>
        <w:rPr>
          <w:rFonts w:ascii="宋体" w:hAnsi="宋体"/>
          <w:b/>
          <w:color w:val="00B050"/>
          <w:szCs w:val="21"/>
        </w:rPr>
      </w:pP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3.数字资源配备有关基本要求：逐步建成课程资源库、精品课资源库、专业特色专题库、专业试卷库、专业图片库、专业视频动画库、专业合作企业库、真实项目资源库等数字资源。</w:t>
      </w:r>
    </w:p>
    <w:p>
      <w:pPr>
        <w:adjustRightInd w:val="0"/>
        <w:snapToGrid w:val="0"/>
        <w:spacing w:line="360" w:lineRule="auto"/>
        <w:ind w:firstLine="525" w:firstLineChars="250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十、质量保障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（一）需遵循专业建设和教学过程质量监控机制，主要课程以企业标准进行课程评价，对教学主要环节要有严格的质量要求和标准，对教学实施、过程监控、质量评价要进行有效的管理，以达成人才培养规格。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专业尝试“学分替换”制改革。所谓“学分替换”制，是指学生可以通过参与实际项目开发、相关竞赛等方式来替换非核心课程的学分。学生可以通过参加考证、项目开发、职业技能大赛、发明创造等来获取并替换课程学分，从而可以申请免修相关的课程。“学分替换”的实施需要预先申请，需根据比赛及项目的内容而确定可替换哪门课程，在经过专业考核通过之后，方可免修并替换相关课程学分。总替换学分不超过20学分。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（上述文字仅供参考）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其中，学分替换规则如下表所示：</w:t>
      </w:r>
    </w:p>
    <w:p>
      <w:pPr>
        <w:spacing w:line="400" w:lineRule="exact"/>
        <w:ind w:firstLine="421"/>
        <w:rPr>
          <w:rFonts w:ascii="宋体" w:hAnsi="宋体"/>
          <w:szCs w:val="21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60"/>
        <w:gridCol w:w="6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类别</w:t>
            </w:r>
          </w:p>
        </w:tc>
        <w:tc>
          <w:tcPr>
            <w:tcW w:w="625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可替换学分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技能竞赛类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教育行政主管部门组织的竞赛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三等奖、二等奖、一等奖、特等奖可分别替换0.5学分、1学分、2学分、3学分；省级优秀奖、三等奖、二等奖、一等奖、特等奖可分别替换2学分、3学分、4学分、5学分、6学分；国家级优秀奖、三等奖、二等奖、一等奖、特等奖可分别替换5学分、6学分、7学分、8学分、9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其他行业协会或社会组织的竞赛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市级一等奖、特等奖可分别替换0.5学分、1学分；省级优秀奖、三等奖、二等奖、一等奖、特等奖可分别替换1学分、2学分、3学分、4学分、5学分；国家级优秀奖、三等奖、二等奖、一等奖、特等奖可分别替换4学分、5学分、6学分、7学分、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校级竞赛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校级技能竞赛一等奖以上可替换0.5学分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项目开发类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自主实施的项目开发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提供合作企业证明文件、工商登记证明等有效证明文件由专业负责人认定可替换学分,每学期累计不得超过8学分。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参与老师组织的项目开发，由专业负责人和项目主持老师认定可替换学分，原则上参加2周替换1学分。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职业资格证书类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人力资源和社会保障系统职业资格证书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取得中级工可替换1学分，高级工可替换2学分，技师级可替换6学分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restar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发明专利类</w:t>
            </w: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发明专利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发明专利</w:t>
            </w:r>
            <w:r>
              <w:rPr>
                <w:rFonts w:hint="eastAsia" w:ascii="宋体" w:hAnsi="宋体"/>
                <w:sz w:val="18"/>
                <w:szCs w:val="18"/>
              </w:rPr>
              <w:t>可替换8学分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实用新型专利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实用新型专利</w:t>
            </w:r>
            <w:r>
              <w:rPr>
                <w:rFonts w:hint="eastAsia" w:ascii="宋体" w:hAnsi="宋体"/>
                <w:sz w:val="18"/>
                <w:szCs w:val="18"/>
              </w:rPr>
              <w:t>可替换6学分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6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外观设计专利</w:t>
            </w:r>
          </w:p>
        </w:tc>
        <w:tc>
          <w:tcPr>
            <w:tcW w:w="625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</w:t>
            </w:r>
            <w:r>
              <w:rPr>
                <w:rFonts w:ascii="宋体" w:hAnsi="宋体"/>
                <w:sz w:val="18"/>
                <w:szCs w:val="18"/>
              </w:rPr>
              <w:t>外观设计专利</w:t>
            </w:r>
            <w:r>
              <w:rPr>
                <w:rFonts w:hint="eastAsia" w:ascii="宋体" w:hAnsi="宋体"/>
                <w:sz w:val="18"/>
                <w:szCs w:val="18"/>
              </w:rPr>
              <w:t>可替换4学分</w:t>
            </w:r>
          </w:p>
        </w:tc>
      </w:tr>
    </w:tbl>
    <w:p>
      <w:pPr>
        <w:spacing w:line="400" w:lineRule="exact"/>
        <w:ind w:firstLine="421"/>
        <w:rPr>
          <w:rFonts w:ascii="宋体" w:hAnsi="宋体"/>
          <w:szCs w:val="21"/>
        </w:rPr>
      </w:pP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（二）建立健全巡课和听课制度，严明教学纪律和课堂纪律，对日常教学组织加强管理。</w:t>
      </w:r>
    </w:p>
    <w:p>
      <w:pPr>
        <w:spacing w:line="400" w:lineRule="exact"/>
        <w:ind w:firstLine="421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（三）建立毕业生跟踪反馈机制和社会评价机制，定期评价人才培养质量和培养目标的达成情况。</w:t>
      </w:r>
    </w:p>
    <w:p>
      <w:pPr>
        <w:adjustRightInd w:val="0"/>
        <w:snapToGrid w:val="0"/>
        <w:spacing w:before="156" w:beforeLines="50"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（四）要充分利用评价分析结构有效改进专业教学，加强专业建设，持续提高人才培养质量。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spacing w:line="360" w:lineRule="exact"/>
        <w:outlineLvl w:val="0"/>
        <w:rPr>
          <w:rFonts w:ascii="仿宋_GB2312"/>
        </w:rPr>
      </w:pPr>
      <w:r>
        <w:rPr>
          <w:rFonts w:hint="eastAsia" w:ascii="宋体" w:hAnsi="宋体" w:cs="宋体"/>
          <w:b/>
        </w:rPr>
        <w:t>十一、教学进程安排</w:t>
      </w:r>
    </w:p>
    <w:p>
      <w:pPr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 xml:space="preserve">       </w:t>
      </w:r>
      <w:r>
        <w:rPr>
          <w:rFonts w:hint="eastAsia" w:ascii="宋体" w:hAnsi="宋体"/>
          <w:szCs w:val="21"/>
        </w:rPr>
        <w:t>1．理论与实践教学分配及比例表（见附件1－1）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2.综合素质课教学进程表（见附件1－2）</w:t>
      </w:r>
    </w:p>
    <w:p>
      <w:pPr>
        <w:ind w:firstLine="735" w:firstLineChars="350"/>
        <w:outlineLvl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3.专业课教学进程表（见附件1－3）</w:t>
      </w:r>
    </w:p>
    <w:p>
      <w:pPr>
        <w:adjustRightInd w:val="0"/>
        <w:snapToGrid w:val="0"/>
        <w:spacing w:line="360" w:lineRule="auto"/>
        <w:ind w:firstLine="735" w:firstLineChars="3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4．实践课教学进程表（见附件1－4）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附件1-</w:t>
      </w:r>
      <w:r>
        <w:rPr>
          <w:rFonts w:ascii="宋体" w:hAnsi="宋体"/>
          <w:b/>
          <w:bCs/>
          <w:szCs w:val="21"/>
        </w:rPr>
        <w:t>1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5492750" cy="3225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275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附件1－2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5631815" cy="8534400"/>
            <wp:effectExtent l="0" t="0" r="698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1815" cy="8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附件1－3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6012180" cy="808355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808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</w:pPr>
    </w:p>
    <w:p>
      <w:pPr>
        <w:adjustRightInd w:val="0"/>
        <w:snapToGrid w:val="0"/>
        <w:spacing w:line="360" w:lineRule="auto"/>
      </w:pPr>
      <w:r>
        <w:rPr>
          <w:rFonts w:hint="eastAsia"/>
        </w:rPr>
        <w:t>附件1-</w:t>
      </w:r>
      <w:r>
        <w:t>4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drawing>
          <wp:inline distT="0" distB="0" distL="0" distR="0">
            <wp:extent cx="6012180" cy="289941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2180" cy="289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szCs w:val="21"/>
        </w:rPr>
      </w:pPr>
    </w:p>
    <w:p/>
    <w:p/>
    <w:sectPr>
      <w:footerReference r:id="rId3" w:type="default"/>
      <w:footerReference r:id="rId4" w:type="even"/>
      <w:pgSz w:w="11906" w:h="16838"/>
      <w:pgMar w:top="1247" w:right="1304" w:bottom="1247" w:left="113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Sylfaen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14</w:t>
    </w:r>
    <w:r>
      <w:fldChar w:fldCharType="end"/>
    </w:r>
  </w:p>
  <w:p>
    <w:pPr>
      <w:pStyle w:val="3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A6D68"/>
    <w:multiLevelType w:val="multilevel"/>
    <w:tmpl w:val="1E7A6D68"/>
    <w:lvl w:ilvl="0" w:tentative="0">
      <w:start w:val="1"/>
      <w:numFmt w:val="decimal"/>
      <w:lvlText w:val="(%1)"/>
      <w:lvlJc w:val="left"/>
      <w:pPr>
        <w:ind w:left="0" w:firstLine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1">
    <w:nsid w:val="31497A0B"/>
    <w:multiLevelType w:val="multilevel"/>
    <w:tmpl w:val="31497A0B"/>
    <w:lvl w:ilvl="0" w:tentative="0">
      <w:start w:val="1"/>
      <w:numFmt w:val="decimal"/>
      <w:lvlText w:val="(%1)"/>
      <w:lvlJc w:val="left"/>
      <w:pPr>
        <w:ind w:left="0" w:firstLine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2">
    <w:nsid w:val="3DF10E96"/>
    <w:multiLevelType w:val="multilevel"/>
    <w:tmpl w:val="3DF10E96"/>
    <w:lvl w:ilvl="0" w:tentative="0">
      <w:start w:val="1"/>
      <w:numFmt w:val="decimal"/>
      <w:lvlText w:val="(%1)"/>
      <w:lvlJc w:val="left"/>
      <w:pPr>
        <w:ind w:left="836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56" w:hanging="420"/>
      </w:pPr>
    </w:lvl>
    <w:lvl w:ilvl="2" w:tentative="0">
      <w:start w:val="1"/>
      <w:numFmt w:val="lowerRoman"/>
      <w:lvlText w:val="%3."/>
      <w:lvlJc w:val="right"/>
      <w:pPr>
        <w:ind w:left="1676" w:hanging="420"/>
      </w:pPr>
    </w:lvl>
    <w:lvl w:ilvl="3" w:tentative="0">
      <w:start w:val="1"/>
      <w:numFmt w:val="decimal"/>
      <w:lvlText w:val="%4."/>
      <w:lvlJc w:val="left"/>
      <w:pPr>
        <w:ind w:left="2096" w:hanging="420"/>
      </w:pPr>
    </w:lvl>
    <w:lvl w:ilvl="4" w:tentative="0">
      <w:start w:val="1"/>
      <w:numFmt w:val="lowerLetter"/>
      <w:lvlText w:val="%5)"/>
      <w:lvlJc w:val="left"/>
      <w:pPr>
        <w:ind w:left="2516" w:hanging="420"/>
      </w:pPr>
    </w:lvl>
    <w:lvl w:ilvl="5" w:tentative="0">
      <w:start w:val="1"/>
      <w:numFmt w:val="lowerRoman"/>
      <w:lvlText w:val="%6."/>
      <w:lvlJc w:val="right"/>
      <w:pPr>
        <w:ind w:left="2936" w:hanging="420"/>
      </w:pPr>
    </w:lvl>
    <w:lvl w:ilvl="6" w:tentative="0">
      <w:start w:val="1"/>
      <w:numFmt w:val="decimal"/>
      <w:lvlText w:val="%7."/>
      <w:lvlJc w:val="left"/>
      <w:pPr>
        <w:ind w:left="3356" w:hanging="420"/>
      </w:pPr>
    </w:lvl>
    <w:lvl w:ilvl="7" w:tentative="0">
      <w:start w:val="1"/>
      <w:numFmt w:val="lowerLetter"/>
      <w:lvlText w:val="%8)"/>
      <w:lvlJc w:val="left"/>
      <w:pPr>
        <w:ind w:left="3776" w:hanging="420"/>
      </w:pPr>
    </w:lvl>
    <w:lvl w:ilvl="8" w:tentative="0">
      <w:start w:val="1"/>
      <w:numFmt w:val="lowerRoman"/>
      <w:lvlText w:val="%9."/>
      <w:lvlJc w:val="right"/>
      <w:pPr>
        <w:ind w:left="4196" w:hanging="420"/>
      </w:pPr>
    </w:lvl>
  </w:abstractNum>
  <w:abstractNum w:abstractNumId="3">
    <w:nsid w:val="59196ECB"/>
    <w:multiLevelType w:val="singleLevel"/>
    <w:tmpl w:val="59196ECB"/>
    <w:lvl w:ilvl="0" w:tentative="0">
      <w:start w:val="3"/>
      <w:numFmt w:val="chineseCounting"/>
      <w:suff w:val="nothing"/>
      <w:lvlText w:val="（%1）"/>
      <w:lvlJc w:val="left"/>
    </w:lvl>
  </w:abstractNum>
  <w:abstractNum w:abstractNumId="4">
    <w:nsid w:val="591970B7"/>
    <w:multiLevelType w:val="singleLevel"/>
    <w:tmpl w:val="591970B7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59197911"/>
    <w:multiLevelType w:val="singleLevel"/>
    <w:tmpl w:val="5919791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jMjdlOWI1MzA5Mzc3NGMxOGE2Y2I5M2QxOTFjZDQifQ=="/>
  </w:docVars>
  <w:rsids>
    <w:rsidRoot w:val="0000374C"/>
    <w:rsid w:val="0000374C"/>
    <w:rsid w:val="00037528"/>
    <w:rsid w:val="00056410"/>
    <w:rsid w:val="000B32B3"/>
    <w:rsid w:val="000F0BBD"/>
    <w:rsid w:val="000F4257"/>
    <w:rsid w:val="00104D78"/>
    <w:rsid w:val="00137827"/>
    <w:rsid w:val="0018207D"/>
    <w:rsid w:val="00186C0C"/>
    <w:rsid w:val="00207C41"/>
    <w:rsid w:val="00210CBC"/>
    <w:rsid w:val="00273B15"/>
    <w:rsid w:val="0031617B"/>
    <w:rsid w:val="00383AC9"/>
    <w:rsid w:val="00387013"/>
    <w:rsid w:val="003870C7"/>
    <w:rsid w:val="00396300"/>
    <w:rsid w:val="003C4481"/>
    <w:rsid w:val="004021BF"/>
    <w:rsid w:val="004259A5"/>
    <w:rsid w:val="00495F34"/>
    <w:rsid w:val="004B238E"/>
    <w:rsid w:val="004E11E8"/>
    <w:rsid w:val="00512169"/>
    <w:rsid w:val="00524BF5"/>
    <w:rsid w:val="005A2CC8"/>
    <w:rsid w:val="005C0109"/>
    <w:rsid w:val="005D31CD"/>
    <w:rsid w:val="005E1795"/>
    <w:rsid w:val="0060152A"/>
    <w:rsid w:val="006070E8"/>
    <w:rsid w:val="00633F37"/>
    <w:rsid w:val="00637F75"/>
    <w:rsid w:val="00651883"/>
    <w:rsid w:val="006C36C8"/>
    <w:rsid w:val="006C7C43"/>
    <w:rsid w:val="0071504A"/>
    <w:rsid w:val="007919BB"/>
    <w:rsid w:val="007E1AAC"/>
    <w:rsid w:val="008119F5"/>
    <w:rsid w:val="008825AF"/>
    <w:rsid w:val="008F4A3E"/>
    <w:rsid w:val="00927297"/>
    <w:rsid w:val="009427E6"/>
    <w:rsid w:val="00984BBF"/>
    <w:rsid w:val="009B6DC1"/>
    <w:rsid w:val="009E49CC"/>
    <w:rsid w:val="00A34C98"/>
    <w:rsid w:val="00A74478"/>
    <w:rsid w:val="00AA3641"/>
    <w:rsid w:val="00AB0D47"/>
    <w:rsid w:val="00AD5A90"/>
    <w:rsid w:val="00B136BE"/>
    <w:rsid w:val="00BA6ADB"/>
    <w:rsid w:val="00BB7C09"/>
    <w:rsid w:val="00C37769"/>
    <w:rsid w:val="00C53EFF"/>
    <w:rsid w:val="00CA603F"/>
    <w:rsid w:val="00CD23E0"/>
    <w:rsid w:val="00CD492D"/>
    <w:rsid w:val="00D675CC"/>
    <w:rsid w:val="00D87D7A"/>
    <w:rsid w:val="00DB711A"/>
    <w:rsid w:val="00E046AB"/>
    <w:rsid w:val="00E31C9C"/>
    <w:rsid w:val="00E615B8"/>
    <w:rsid w:val="00E66872"/>
    <w:rsid w:val="00E95711"/>
    <w:rsid w:val="00EC6F44"/>
    <w:rsid w:val="00EF3EC3"/>
    <w:rsid w:val="00F420B6"/>
    <w:rsid w:val="00FB0A93"/>
    <w:rsid w:val="00FB51F5"/>
    <w:rsid w:val="71CE057C"/>
    <w:rsid w:val="7A84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styleId="8">
    <w:name w:val="page number"/>
    <w:basedOn w:val="6"/>
    <w:qFormat/>
    <w:uiPriority w:val="0"/>
  </w:style>
  <w:style w:type="character" w:styleId="9">
    <w:name w:val="FollowedHyperlink"/>
    <w:basedOn w:val="6"/>
    <w:semiHidden/>
    <w:unhideWhenUsed/>
    <w:uiPriority w:val="99"/>
    <w:rPr>
      <w:color w:val="800080"/>
      <w:u w:val="single"/>
    </w:rPr>
  </w:style>
  <w:style w:type="character" w:styleId="10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11">
    <w:name w:val="页脚 字符"/>
    <w:link w:val="3"/>
    <w:qFormat/>
    <w:uiPriority w:val="99"/>
    <w:rPr>
      <w:sz w:val="18"/>
      <w:szCs w:val="18"/>
    </w:rPr>
  </w:style>
  <w:style w:type="character" w:customStyle="1" w:styleId="12">
    <w:name w:val="页脚 Char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8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1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0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1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4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5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6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7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28">
    <w:name w:val="xl68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xl69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7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xl71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32">
    <w:name w:val="xl72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3">
    <w:name w:val="xl73"/>
    <w:basedOn w:val="1"/>
    <w:qFormat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34">
    <w:name w:val="xl7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36">
    <w:name w:val="xl7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3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0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xl8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49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0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</w:rPr>
  </w:style>
  <w:style w:type="paragraph" w:customStyle="1" w:styleId="51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2">
    <w:name w:val="xl92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93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54">
    <w:name w:val="xl94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5">
    <w:name w:val="xl95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9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57">
    <w:name w:val="xl9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10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2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6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7">
    <w:name w:val="xl107"/>
    <w:basedOn w:val="1"/>
    <w:qFormat/>
    <w:uiPriority w:val="0"/>
    <w:pPr>
      <w:widowControl/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xl11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72">
    <w:name w:val="xl11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4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6">
    <w:name w:val="xl1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7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8">
    <w:name w:val="xl11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9">
    <w:name w:val="xl11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0">
    <w:name w:val="xl120"/>
    <w:basedOn w:val="1"/>
    <w:qFormat/>
    <w:uiPriority w:val="0"/>
    <w:pPr>
      <w:widowControl/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1">
    <w:name w:val="xl12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2">
    <w:name w:val="xl12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3">
    <w:name w:val="xl12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18"/>
      <w:szCs w:val="18"/>
    </w:rPr>
  </w:style>
  <w:style w:type="paragraph" w:customStyle="1" w:styleId="8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5">
    <w:name w:val="xl1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86">
    <w:name w:val="xl126"/>
    <w:basedOn w:val="1"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88">
    <w:name w:val="xl128"/>
    <w:basedOn w:val="1"/>
    <w:uiPriority w:val="0"/>
    <w:pPr>
      <w:widowControl/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9">
    <w:name w:val="xl1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0">
    <w:name w:val="xl1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1">
    <w:name w:val="xl131"/>
    <w:basedOn w:val="1"/>
    <w:uiPriority w:val="0"/>
    <w:pPr>
      <w:widowControl/>
      <w:shd w:val="clear" w:color="000000" w:fill="C5D9F1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2">
    <w:name w:val="xl132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3">
    <w:name w:val="xl1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4">
    <w:name w:val="xl1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95">
    <w:name w:val="xl1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96">
    <w:name w:val="xl1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2DCDB"/>
      <w:kern w:val="0"/>
      <w:sz w:val="18"/>
      <w:szCs w:val="18"/>
    </w:rPr>
  </w:style>
  <w:style w:type="paragraph" w:customStyle="1" w:styleId="97">
    <w:name w:val="xl13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8">
    <w:name w:val="xl138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99">
    <w:name w:val="xl13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0">
    <w:name w:val="xl140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101">
    <w:name w:val="xl1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02">
    <w:name w:val="xl1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4F81BD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3">
    <w:name w:val="xl1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4">
    <w:name w:val="xl144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5">
    <w:name w:val="xl145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6">
    <w:name w:val="xl146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7">
    <w:name w:val="xl14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8">
    <w:name w:val="xl14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9">
    <w:name w:val="xl14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0">
    <w:name w:val="xl1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1">
    <w:name w:val="xl151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2">
    <w:name w:val="xl15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13">
    <w:name w:val="xl153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4">
    <w:name w:val="xl154"/>
    <w:basedOn w:val="1"/>
    <w:uiPriority w:val="0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15">
    <w:name w:val="xl155"/>
    <w:basedOn w:val="1"/>
    <w:uiPriority w:val="0"/>
    <w:pPr>
      <w:widowControl/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56"/>
    <w:basedOn w:val="1"/>
    <w:uiPriority w:val="0"/>
    <w:pPr>
      <w:widowControl/>
      <w:pBdr>
        <w:top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15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18">
    <w:name w:val="xl1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character" w:customStyle="1" w:styleId="11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0">
    <w:name w:val="网格型浅色1"/>
    <w:basedOn w:val="5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emf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shenduxitong</Company>
  <Pages>15</Pages>
  <Words>6904</Words>
  <Characters>7057</Characters>
  <Lines>56</Lines>
  <Paragraphs>15</Paragraphs>
  <TotalTime>8</TotalTime>
  <ScaleCrop>false</ScaleCrop>
  <LinksUpToDate>false</LinksUpToDate>
  <CharactersWithSpaces>7286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2022-11-05T02:46:00Z</dcterms:created>
  <dc:creator>Windows 用户</dc:creator>
  <cp:lastModifiedBy>Van</cp:lastModifiedBy>
  <cp:lastPrinted>2022-11-07T08:41:00Z</cp:lastPrinted>
  <dcterms:modified xsi:type="dcterms:W3CDTF">2022-12-14T01:21:52Z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E7825C1B35B343B48BC503B3475F9137</vt:lpwstr>
  </property>
</Properties>
</file>