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小学数学教育专业人才培养方案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理学院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小学数学教育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lang w:val="en-US" w:eastAsia="zh-CN"/>
        </w:rPr>
        <w:t>级</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马 磊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级小学数学教育专业人才培养方案</w:t>
      </w:r>
    </w:p>
    <w:p>
      <w:pPr>
        <w:spacing w:line="360" w:lineRule="auto"/>
        <w:ind w:firstLine="422" w:firstLineChars="200"/>
        <w:rPr>
          <w:rFonts w:ascii="宋体" w:hAnsi="宋体"/>
          <w:b/>
          <w:bCs/>
          <w:szCs w:val="21"/>
        </w:rPr>
      </w:pPr>
    </w:p>
    <w:p>
      <w:pPr>
        <w:spacing w:line="360" w:lineRule="auto"/>
        <w:ind w:firstLine="422" w:firstLineChars="200"/>
        <w:rPr>
          <w:rStyle w:val="8"/>
          <w:rFonts w:ascii="宋体" w:hAnsi="宋体"/>
          <w:szCs w:val="21"/>
        </w:rPr>
      </w:pPr>
      <w:r>
        <w:rPr>
          <w:rStyle w:val="8"/>
          <w:rFonts w:hint="eastAsia" w:ascii="宋体" w:hAnsi="宋体"/>
          <w:szCs w:val="21"/>
        </w:rPr>
        <w:t>一、专业名称</w:t>
      </w:r>
      <w:r>
        <w:rPr>
          <w:rStyle w:val="8"/>
          <w:rFonts w:ascii="宋体" w:hAnsi="宋体"/>
          <w:szCs w:val="21"/>
        </w:rPr>
        <w:t>(</w:t>
      </w:r>
      <w:r>
        <w:rPr>
          <w:rStyle w:val="8"/>
          <w:rFonts w:hint="eastAsia" w:ascii="宋体" w:hAnsi="宋体"/>
          <w:szCs w:val="21"/>
        </w:rPr>
        <w:t>代码</w:t>
      </w:r>
      <w:r>
        <w:rPr>
          <w:rStyle w:val="8"/>
          <w:rFonts w:ascii="宋体" w:hAnsi="宋体"/>
          <w:szCs w:val="21"/>
        </w:rPr>
        <w:t>)</w:t>
      </w:r>
      <w:r>
        <w:rPr>
          <w:rStyle w:val="8"/>
          <w:rFonts w:hint="eastAsia" w:ascii="宋体" w:hAnsi="宋体"/>
          <w:szCs w:val="21"/>
        </w:rPr>
        <w:t xml:space="preserve"> </w:t>
      </w:r>
    </w:p>
    <w:p>
      <w:pPr>
        <w:spacing w:line="360" w:lineRule="auto"/>
        <w:ind w:firstLine="420" w:firstLineChars="200"/>
        <w:rPr>
          <w:rStyle w:val="8"/>
          <w:rFonts w:ascii="宋体" w:hAnsi="宋体"/>
          <w:szCs w:val="21"/>
        </w:rPr>
      </w:pPr>
      <w:r>
        <w:rPr>
          <w:rFonts w:hint="eastAsia"/>
          <w:szCs w:val="21"/>
        </w:rPr>
        <w:tab/>
      </w:r>
      <w:r>
        <w:rPr>
          <w:rFonts w:hint="eastAsia"/>
          <w:szCs w:val="21"/>
        </w:rPr>
        <w:t>小学数学教育(570105K)</w:t>
      </w:r>
    </w:p>
    <w:p>
      <w:pPr>
        <w:spacing w:line="360" w:lineRule="auto"/>
        <w:ind w:firstLine="422" w:firstLineChars="200"/>
        <w:rPr>
          <w:rStyle w:val="8"/>
          <w:rFonts w:ascii="宋体" w:hAnsi="宋体"/>
          <w:szCs w:val="21"/>
        </w:rPr>
      </w:pPr>
      <w:r>
        <w:rPr>
          <w:rStyle w:val="8"/>
          <w:rFonts w:hint="eastAsia" w:ascii="宋体" w:hAnsi="宋体"/>
          <w:szCs w:val="21"/>
        </w:rPr>
        <w:t>二、入学要求</w:t>
      </w:r>
    </w:p>
    <w:p>
      <w:pPr>
        <w:spacing w:line="360" w:lineRule="auto"/>
        <w:ind w:firstLine="420" w:firstLineChars="200"/>
        <w:rPr>
          <w:rStyle w:val="8"/>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8"/>
          <w:rFonts w:ascii="宋体" w:hAnsi="宋体"/>
          <w:szCs w:val="21"/>
        </w:rPr>
      </w:pPr>
      <w:r>
        <w:rPr>
          <w:rStyle w:val="8"/>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992"/>
        <w:gridCol w:w="1134"/>
        <w:gridCol w:w="1276"/>
        <w:gridCol w:w="2410"/>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pacing w:line="400" w:lineRule="exact"/>
              <w:jc w:val="center"/>
              <w:rPr>
                <w:rFonts w:ascii="宋体" w:hAnsi="宋体" w:cs="宋体"/>
                <w:b/>
                <w:bCs/>
                <w:szCs w:val="21"/>
              </w:rPr>
            </w:pPr>
            <w:r>
              <w:rPr>
                <w:rFonts w:hint="eastAsia" w:ascii="宋体" w:hAnsi="宋体" w:cs="宋体"/>
                <w:b/>
                <w:bCs/>
                <w:szCs w:val="21"/>
              </w:rPr>
              <w:t>所属专业大类</w:t>
            </w:r>
          </w:p>
        </w:tc>
        <w:tc>
          <w:tcPr>
            <w:tcW w:w="992" w:type="dxa"/>
            <w:vAlign w:val="center"/>
          </w:tcPr>
          <w:p>
            <w:pPr>
              <w:spacing w:line="400" w:lineRule="exact"/>
              <w:jc w:val="center"/>
              <w:rPr>
                <w:rFonts w:ascii="宋体" w:hAnsi="宋体" w:cs="宋体"/>
                <w:b/>
                <w:bCs/>
                <w:szCs w:val="21"/>
              </w:rPr>
            </w:pPr>
            <w:r>
              <w:rPr>
                <w:rFonts w:hint="eastAsia" w:ascii="宋体" w:hAnsi="宋体" w:cs="宋体"/>
                <w:b/>
                <w:bCs/>
                <w:szCs w:val="21"/>
              </w:rPr>
              <w:t>所属专业类</w:t>
            </w:r>
          </w:p>
        </w:tc>
        <w:tc>
          <w:tcPr>
            <w:tcW w:w="1134" w:type="dxa"/>
            <w:vAlign w:val="center"/>
          </w:tcPr>
          <w:p>
            <w:pPr>
              <w:spacing w:line="400" w:lineRule="exact"/>
              <w:jc w:val="center"/>
              <w:rPr>
                <w:rFonts w:ascii="宋体" w:hAnsi="宋体" w:cs="宋体"/>
                <w:b/>
                <w:bCs/>
                <w:szCs w:val="21"/>
              </w:rPr>
            </w:pPr>
            <w:r>
              <w:rPr>
                <w:rFonts w:hint="eastAsia" w:ascii="宋体" w:hAnsi="宋体" w:cs="宋体"/>
                <w:b/>
                <w:bCs/>
                <w:szCs w:val="21"/>
              </w:rPr>
              <w:t>对应行业</w:t>
            </w:r>
          </w:p>
        </w:tc>
        <w:tc>
          <w:tcPr>
            <w:tcW w:w="1276" w:type="dxa"/>
            <w:vAlign w:val="center"/>
          </w:tcPr>
          <w:p>
            <w:pPr>
              <w:spacing w:line="400" w:lineRule="exact"/>
              <w:jc w:val="center"/>
              <w:rPr>
                <w:rFonts w:ascii="宋体" w:hAnsi="宋体" w:cs="宋体"/>
                <w:b/>
                <w:bCs/>
                <w:szCs w:val="21"/>
              </w:rPr>
            </w:pPr>
            <w:r>
              <w:rPr>
                <w:rFonts w:hint="eastAsia" w:ascii="宋体" w:hAnsi="宋体" w:cs="宋体"/>
                <w:b/>
                <w:bCs/>
                <w:szCs w:val="21"/>
              </w:rPr>
              <w:t>主要职业类别</w:t>
            </w:r>
          </w:p>
        </w:tc>
        <w:tc>
          <w:tcPr>
            <w:tcW w:w="2410" w:type="dxa"/>
            <w:vAlign w:val="center"/>
          </w:tcPr>
          <w:p>
            <w:pPr>
              <w:spacing w:line="400" w:lineRule="exact"/>
              <w:jc w:val="center"/>
              <w:rPr>
                <w:rFonts w:ascii="宋体" w:hAnsi="宋体" w:cs="宋体"/>
                <w:b/>
                <w:bCs/>
                <w:szCs w:val="21"/>
              </w:rPr>
            </w:pPr>
            <w:r>
              <w:rPr>
                <w:rFonts w:hint="eastAsia" w:ascii="宋体" w:hAnsi="宋体" w:cs="宋体"/>
                <w:b/>
                <w:bCs/>
                <w:szCs w:val="21"/>
              </w:rPr>
              <w:t>主要岗位类别（或技术领域）举例</w:t>
            </w:r>
          </w:p>
        </w:tc>
        <w:tc>
          <w:tcPr>
            <w:tcW w:w="2551" w:type="dxa"/>
            <w:vAlign w:val="center"/>
          </w:tcPr>
          <w:p>
            <w:pPr>
              <w:spacing w:line="400" w:lineRule="exact"/>
              <w:jc w:val="center"/>
              <w:rPr>
                <w:rFonts w:ascii="宋体" w:hAnsi="宋体" w:cs="宋体"/>
                <w:b/>
                <w:bCs/>
                <w:szCs w:val="21"/>
              </w:rPr>
            </w:pPr>
            <w:r>
              <w:rPr>
                <w:rFonts w:hint="eastAsia" w:ascii="宋体" w:hAnsi="宋体" w:cs="宋体"/>
                <w:b/>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pStyle w:val="122"/>
              <w:spacing w:before="107" w:line="237" w:lineRule="auto"/>
              <w:ind w:right="197"/>
              <w:jc w:val="center"/>
              <w:rPr>
                <w:rFonts w:ascii="仿宋" w:hAnsi="仿宋" w:eastAsia="仿宋" w:cs="仿宋"/>
                <w:szCs w:val="21"/>
              </w:rPr>
            </w:pPr>
            <w:r>
              <w:rPr>
                <w:rFonts w:hint="eastAsia" w:ascii="仿宋" w:hAnsi="仿宋" w:eastAsia="仿宋" w:cs="仿宋"/>
                <w:szCs w:val="21"/>
              </w:rPr>
              <w:t>教育与体育</w:t>
            </w:r>
          </w:p>
          <w:p>
            <w:pPr>
              <w:pStyle w:val="122"/>
              <w:spacing w:before="107" w:line="237" w:lineRule="auto"/>
              <w:ind w:right="197"/>
              <w:jc w:val="center"/>
              <w:rPr>
                <w:rFonts w:ascii="仿宋" w:hAnsi="仿宋" w:eastAsia="仿宋" w:cs="仿宋"/>
                <w:szCs w:val="21"/>
              </w:rPr>
            </w:pPr>
            <w:r>
              <w:rPr>
                <w:rFonts w:hint="eastAsia" w:ascii="仿宋" w:hAnsi="仿宋" w:eastAsia="仿宋" w:cs="仿宋"/>
                <w:szCs w:val="21"/>
              </w:rPr>
              <w:t>大类</w:t>
            </w:r>
          </w:p>
          <w:p>
            <w:pPr>
              <w:pStyle w:val="122"/>
              <w:spacing w:before="107" w:line="237" w:lineRule="auto"/>
              <w:ind w:right="197"/>
              <w:jc w:val="center"/>
              <w:rPr>
                <w:rFonts w:ascii="仿宋" w:hAnsi="仿宋" w:eastAsia="仿宋" w:cs="仿宋"/>
                <w:szCs w:val="21"/>
              </w:rPr>
            </w:pPr>
            <w:r>
              <w:rPr>
                <w:rFonts w:hint="eastAsia" w:ascii="仿宋" w:hAnsi="仿宋" w:eastAsia="仿宋" w:cs="仿宋"/>
                <w:szCs w:val="21"/>
              </w:rPr>
              <w:t>（57）</w:t>
            </w:r>
          </w:p>
        </w:tc>
        <w:tc>
          <w:tcPr>
            <w:tcW w:w="992"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教育类</w:t>
            </w:r>
          </w:p>
          <w:p>
            <w:pPr>
              <w:spacing w:line="400" w:lineRule="exact"/>
              <w:jc w:val="center"/>
              <w:rPr>
                <w:rFonts w:ascii="仿宋" w:hAnsi="仿宋" w:eastAsia="仿宋" w:cs="仿宋"/>
                <w:szCs w:val="21"/>
              </w:rPr>
            </w:pPr>
            <w:r>
              <w:rPr>
                <w:rFonts w:hint="eastAsia" w:ascii="仿宋" w:hAnsi="仿宋" w:eastAsia="仿宋" w:cs="仿宋"/>
                <w:szCs w:val="21"/>
              </w:rPr>
              <w:t>（5701）</w:t>
            </w:r>
          </w:p>
          <w:p>
            <w:pPr>
              <w:pStyle w:val="122"/>
              <w:ind w:firstLine="369" w:firstLineChars="176"/>
              <w:jc w:val="center"/>
              <w:rPr>
                <w:rFonts w:ascii="仿宋" w:hAnsi="仿宋" w:eastAsia="仿宋" w:cs="仿宋"/>
                <w:szCs w:val="21"/>
              </w:rPr>
            </w:pPr>
          </w:p>
        </w:tc>
        <w:tc>
          <w:tcPr>
            <w:tcW w:w="1134" w:type="dxa"/>
            <w:vAlign w:val="center"/>
          </w:tcPr>
          <w:p>
            <w:pPr>
              <w:pStyle w:val="122"/>
              <w:jc w:val="center"/>
              <w:rPr>
                <w:rFonts w:ascii="仿宋" w:hAnsi="仿宋" w:eastAsia="仿宋" w:cs="仿宋"/>
                <w:szCs w:val="21"/>
              </w:rPr>
            </w:pPr>
            <w:r>
              <w:rPr>
                <w:rFonts w:hint="eastAsia" w:ascii="仿宋" w:hAnsi="仿宋" w:eastAsia="仿宋" w:cs="仿宋"/>
                <w:szCs w:val="21"/>
              </w:rPr>
              <w:t>初等教育</w:t>
            </w:r>
          </w:p>
          <w:p>
            <w:pPr>
              <w:pStyle w:val="122"/>
              <w:jc w:val="center"/>
              <w:rPr>
                <w:rFonts w:ascii="仿宋" w:hAnsi="仿宋" w:eastAsia="仿宋" w:cs="仿宋"/>
                <w:szCs w:val="21"/>
              </w:rPr>
            </w:pPr>
            <w:r>
              <w:rPr>
                <w:rFonts w:hint="eastAsia" w:ascii="仿宋" w:hAnsi="仿宋" w:eastAsia="仿宋" w:cs="仿宋"/>
                <w:szCs w:val="21"/>
              </w:rPr>
              <w:t>（8420）</w:t>
            </w:r>
          </w:p>
        </w:tc>
        <w:tc>
          <w:tcPr>
            <w:tcW w:w="1276" w:type="dxa"/>
            <w:vAlign w:val="center"/>
          </w:tcPr>
          <w:p>
            <w:pPr>
              <w:pStyle w:val="122"/>
              <w:jc w:val="center"/>
              <w:rPr>
                <w:rFonts w:ascii="仿宋" w:hAnsi="仿宋" w:eastAsia="仿宋" w:cs="仿宋"/>
                <w:szCs w:val="21"/>
              </w:rPr>
            </w:pPr>
            <w:r>
              <w:rPr>
                <w:rFonts w:hint="eastAsia" w:ascii="仿宋" w:hAnsi="仿宋" w:eastAsia="仿宋" w:cs="仿宋"/>
                <w:szCs w:val="21"/>
              </w:rPr>
              <w:t>小学教师</w:t>
            </w:r>
          </w:p>
          <w:p>
            <w:pPr>
              <w:pStyle w:val="122"/>
              <w:jc w:val="center"/>
              <w:rPr>
                <w:rFonts w:ascii="仿宋" w:hAnsi="仿宋" w:eastAsia="仿宋" w:cs="仿宋"/>
                <w:szCs w:val="21"/>
              </w:rPr>
            </w:pPr>
            <w:r>
              <w:rPr>
                <w:rFonts w:hint="eastAsia" w:ascii="仿宋" w:hAnsi="仿宋" w:eastAsia="仿宋" w:cs="仿宋"/>
                <w:szCs w:val="21"/>
              </w:rPr>
              <w:t>（2-09-04-00）</w:t>
            </w:r>
          </w:p>
        </w:tc>
        <w:tc>
          <w:tcPr>
            <w:tcW w:w="2410" w:type="dxa"/>
            <w:vAlign w:val="center"/>
          </w:tcPr>
          <w:p>
            <w:pPr>
              <w:numPr>
                <w:ilvl w:val="0"/>
                <w:numId w:val="1"/>
              </w:numPr>
              <w:spacing w:line="400" w:lineRule="exact"/>
              <w:jc w:val="center"/>
              <w:rPr>
                <w:rFonts w:ascii="仿宋" w:hAnsi="仿宋" w:eastAsia="仿宋" w:cs="仿宋"/>
                <w:szCs w:val="21"/>
              </w:rPr>
            </w:pPr>
            <w:r>
              <w:rPr>
                <w:rFonts w:hint="eastAsia" w:ascii="仿宋" w:hAnsi="仿宋" w:eastAsia="仿宋" w:cs="仿宋"/>
                <w:szCs w:val="21"/>
              </w:rPr>
              <w:t>小学阶段数学教师</w:t>
            </w:r>
          </w:p>
          <w:p>
            <w:pPr>
              <w:numPr>
                <w:ilvl w:val="0"/>
                <w:numId w:val="1"/>
              </w:numPr>
              <w:spacing w:line="400" w:lineRule="exact"/>
              <w:jc w:val="center"/>
              <w:rPr>
                <w:rFonts w:ascii="仿宋" w:hAnsi="仿宋" w:eastAsia="仿宋" w:cs="仿宋"/>
                <w:szCs w:val="21"/>
              </w:rPr>
            </w:pPr>
            <w:r>
              <w:rPr>
                <w:rFonts w:hint="eastAsia" w:ascii="仿宋" w:hAnsi="仿宋" w:eastAsia="仿宋" w:cs="仿宋"/>
                <w:szCs w:val="21"/>
              </w:rPr>
              <w:t>培训机构数学教师</w:t>
            </w:r>
          </w:p>
          <w:p>
            <w:pPr>
              <w:numPr>
                <w:ilvl w:val="0"/>
                <w:numId w:val="1"/>
              </w:numPr>
              <w:spacing w:line="400" w:lineRule="exact"/>
              <w:jc w:val="center"/>
              <w:rPr>
                <w:rFonts w:ascii="仿宋" w:hAnsi="仿宋" w:eastAsia="仿宋" w:cs="仿宋"/>
                <w:szCs w:val="21"/>
              </w:rPr>
            </w:pPr>
            <w:r>
              <w:rPr>
                <w:rFonts w:hint="eastAsia" w:ascii="仿宋" w:hAnsi="仿宋" w:eastAsia="仿宋" w:cs="仿宋"/>
                <w:szCs w:val="21"/>
              </w:rPr>
              <w:t>小学教育管理工作者</w:t>
            </w:r>
          </w:p>
        </w:tc>
        <w:tc>
          <w:tcPr>
            <w:tcW w:w="2551" w:type="dxa"/>
            <w:vAlign w:val="center"/>
          </w:tcPr>
          <w:p>
            <w:pPr>
              <w:spacing w:line="400" w:lineRule="exact"/>
              <w:jc w:val="center"/>
              <w:rPr>
                <w:rFonts w:ascii="仿宋" w:hAnsi="仿宋" w:eastAsia="仿宋" w:cs="仿宋"/>
                <w:szCs w:val="21"/>
              </w:rPr>
            </w:pPr>
            <w:r>
              <w:rPr>
                <w:rFonts w:hint="eastAsia" w:ascii="仿宋" w:hAnsi="仿宋" w:eastAsia="仿宋" w:cs="仿宋"/>
                <w:szCs w:val="21"/>
              </w:rPr>
              <w:t>1.二级乙等（含）以上普通话等级证。</w:t>
            </w:r>
          </w:p>
          <w:p>
            <w:pPr>
              <w:pStyle w:val="122"/>
              <w:jc w:val="center"/>
              <w:rPr>
                <w:rFonts w:ascii="仿宋" w:hAnsi="仿宋" w:eastAsia="仿宋" w:cs="仿宋"/>
                <w:szCs w:val="21"/>
              </w:rPr>
            </w:pPr>
            <w:r>
              <w:rPr>
                <w:rFonts w:hint="eastAsia" w:ascii="仿宋" w:hAnsi="仿宋" w:eastAsia="仿宋" w:cs="仿宋"/>
                <w:szCs w:val="21"/>
              </w:rPr>
              <w:t>2.小学数学教师资格证。</w:t>
            </w:r>
          </w:p>
        </w:tc>
      </w:tr>
    </w:tbl>
    <w:p>
      <w:pPr>
        <w:spacing w:line="360" w:lineRule="auto"/>
        <w:ind w:firstLine="422" w:firstLineChars="200"/>
        <w:rPr>
          <w:rStyle w:val="8"/>
          <w:rFonts w:ascii="宋体" w:hAnsi="宋体"/>
          <w:szCs w:val="21"/>
        </w:rPr>
      </w:pPr>
      <w:r>
        <w:rPr>
          <w:rStyle w:val="8"/>
          <w:rFonts w:hint="eastAsia" w:ascii="宋体" w:hAnsi="宋体"/>
          <w:szCs w:val="21"/>
        </w:rPr>
        <w:t>(二) 职业岗位群和核心能力分析</w:t>
      </w:r>
    </w:p>
    <w:tbl>
      <w:tblPr>
        <w:tblStyle w:val="121"/>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3969"/>
        <w:gridCol w:w="1701"/>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shd w:val="clear" w:color="auto" w:fill="auto"/>
            <w:vAlign w:val="center"/>
          </w:tcPr>
          <w:p>
            <w:pPr>
              <w:widowControl/>
              <w:spacing w:line="360" w:lineRule="auto"/>
              <w:jc w:val="center"/>
              <w:rPr>
                <w:rFonts w:ascii="宋体" w:hAnsi="宋体" w:cs="Arial"/>
                <w:b/>
                <w:bCs/>
                <w:kern w:val="0"/>
                <w:szCs w:val="21"/>
              </w:rPr>
            </w:pPr>
            <w:r>
              <w:rPr>
                <w:rFonts w:hint="eastAsia" w:ascii="宋体" w:hAnsi="宋体" w:cs="Arial"/>
                <w:b/>
                <w:bCs/>
                <w:kern w:val="0"/>
                <w:szCs w:val="21"/>
              </w:rPr>
              <w:t>岗位</w:t>
            </w:r>
          </w:p>
        </w:tc>
        <w:tc>
          <w:tcPr>
            <w:tcW w:w="1701" w:type="dxa"/>
            <w:shd w:val="clear" w:color="auto" w:fill="auto"/>
            <w:vAlign w:val="center"/>
          </w:tcPr>
          <w:p>
            <w:pPr>
              <w:widowControl/>
              <w:spacing w:line="360" w:lineRule="auto"/>
              <w:jc w:val="center"/>
              <w:rPr>
                <w:rFonts w:ascii="宋体" w:hAnsi="宋体" w:cs="Arial"/>
                <w:b/>
                <w:bCs/>
                <w:kern w:val="0"/>
                <w:szCs w:val="21"/>
              </w:rPr>
            </w:pPr>
            <w:r>
              <w:rPr>
                <w:rFonts w:hint="eastAsia" w:ascii="宋体" w:hAnsi="宋体" w:cs="Arial"/>
                <w:b/>
                <w:bCs/>
                <w:kern w:val="0"/>
                <w:szCs w:val="21"/>
              </w:rPr>
              <w:t>岗位能力要求</w:t>
            </w:r>
          </w:p>
        </w:tc>
        <w:tc>
          <w:tcPr>
            <w:tcW w:w="3969" w:type="dxa"/>
            <w:shd w:val="clear" w:color="auto" w:fill="auto"/>
            <w:vAlign w:val="center"/>
          </w:tcPr>
          <w:p>
            <w:pPr>
              <w:widowControl/>
              <w:spacing w:line="360" w:lineRule="auto"/>
              <w:jc w:val="center"/>
              <w:rPr>
                <w:rFonts w:ascii="宋体" w:hAnsi="宋体" w:cs="Arial"/>
                <w:b/>
                <w:bCs/>
                <w:kern w:val="0"/>
                <w:szCs w:val="21"/>
              </w:rPr>
            </w:pPr>
            <w:r>
              <w:rPr>
                <w:rFonts w:hint="eastAsia" w:ascii="宋体" w:hAnsi="宋体" w:cs="Arial"/>
                <w:b/>
                <w:bCs/>
                <w:kern w:val="0"/>
                <w:szCs w:val="21"/>
              </w:rPr>
              <w:t>岗位职责</w:t>
            </w:r>
          </w:p>
        </w:tc>
        <w:tc>
          <w:tcPr>
            <w:tcW w:w="1701" w:type="dxa"/>
            <w:shd w:val="clear" w:color="auto" w:fill="auto"/>
            <w:vAlign w:val="center"/>
          </w:tcPr>
          <w:p>
            <w:pPr>
              <w:widowControl/>
              <w:spacing w:line="360" w:lineRule="auto"/>
              <w:jc w:val="center"/>
              <w:rPr>
                <w:rFonts w:ascii="宋体" w:hAnsi="宋体" w:cs="Arial"/>
                <w:b/>
                <w:bCs/>
                <w:kern w:val="0"/>
                <w:szCs w:val="21"/>
              </w:rPr>
            </w:pPr>
            <w:r>
              <w:rPr>
                <w:rFonts w:hint="eastAsia" w:ascii="宋体" w:hAnsi="宋体" w:cs="Arial"/>
                <w:b/>
                <w:bCs/>
                <w:kern w:val="0"/>
                <w:szCs w:val="21"/>
              </w:rPr>
              <w:t>导出课程</w:t>
            </w:r>
          </w:p>
        </w:tc>
        <w:tc>
          <w:tcPr>
            <w:tcW w:w="1590" w:type="dxa"/>
            <w:shd w:val="clear" w:color="auto" w:fill="auto"/>
            <w:vAlign w:val="center"/>
          </w:tcPr>
          <w:p>
            <w:pPr>
              <w:widowControl/>
              <w:spacing w:line="360" w:lineRule="auto"/>
              <w:jc w:val="center"/>
              <w:rPr>
                <w:rFonts w:ascii="宋体" w:hAnsi="宋体" w:cs="Arial"/>
                <w:b/>
                <w:bCs/>
                <w:kern w:val="0"/>
                <w:szCs w:val="21"/>
              </w:rPr>
            </w:pPr>
            <w:r>
              <w:rPr>
                <w:rFonts w:hint="eastAsia" w:ascii="宋体" w:hAnsi="宋体" w:cs="Arial"/>
                <w:b/>
                <w:bCs/>
                <w:kern w:val="0"/>
                <w:szCs w:val="21"/>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shd w:val="clear" w:color="auto" w:fill="auto"/>
          </w:tcPr>
          <w:p>
            <w:pPr>
              <w:spacing w:line="360" w:lineRule="auto"/>
              <w:jc w:val="center"/>
              <w:rPr>
                <w:rFonts w:ascii="宋体" w:hAnsi="宋体" w:cs="Arial"/>
                <w:b/>
                <w:bCs/>
                <w:kern w:val="0"/>
                <w:szCs w:val="21"/>
              </w:rPr>
            </w:pPr>
            <w:r>
              <w:rPr>
                <w:rFonts w:hint="eastAsia" w:ascii="仿宋_GB2312" w:hAnsi="宋体" w:eastAsia="仿宋_GB2312" w:cs="Arial"/>
                <w:bCs/>
                <w:kern w:val="0"/>
                <w:szCs w:val="21"/>
              </w:rPr>
              <w:t>小学数学教师及其他相关工作</w:t>
            </w:r>
          </w:p>
        </w:tc>
        <w:tc>
          <w:tcPr>
            <w:tcW w:w="1701" w:type="dxa"/>
            <w:shd w:val="clear" w:color="auto" w:fill="auto"/>
          </w:tcPr>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1.具备数学思维能力、逻辑推理能力、空间想象能力；</w:t>
            </w:r>
          </w:p>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2.具备较强课堂组织、实施、指导、管理和教学反思能力；</w:t>
            </w:r>
          </w:p>
        </w:tc>
        <w:tc>
          <w:tcPr>
            <w:tcW w:w="3969" w:type="dxa"/>
            <w:shd w:val="clear" w:color="auto" w:fill="auto"/>
          </w:tcPr>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1.在教育实践中，履行应尽义务，自觉维护学生与自身的合法权益；结合课程特点，挖掘课程思想政治教育资源。</w:t>
            </w:r>
          </w:p>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2. 制定小学生个人或集体的小学数学教学计划；承担学校安排的数学教学任务，包括备课、讲课、辅导、批改作业及试卷等，并完成多元化的学生评价。</w:t>
            </w:r>
          </w:p>
          <w:p>
            <w:pPr>
              <w:widowControl/>
              <w:spacing w:line="360" w:lineRule="auto"/>
              <w:jc w:val="center"/>
              <w:rPr>
                <w:rFonts w:ascii="宋体" w:hAnsi="宋体" w:cs="Arial"/>
                <w:b/>
                <w:bCs/>
                <w:kern w:val="0"/>
                <w:szCs w:val="21"/>
              </w:rPr>
            </w:pPr>
            <w:r>
              <w:rPr>
                <w:rFonts w:hint="eastAsia" w:ascii="仿宋_GB2312" w:hAnsi="宋体" w:eastAsia="仿宋_GB2312" w:cs="Arial"/>
                <w:bCs/>
                <w:kern w:val="0"/>
                <w:szCs w:val="21"/>
              </w:rPr>
              <w:t>3.担任班主任，制定班主任工作计划，组织学生班队活动，处理突发事件，完成学</w:t>
            </w:r>
          </w:p>
        </w:tc>
        <w:tc>
          <w:tcPr>
            <w:tcW w:w="1701" w:type="dxa"/>
            <w:shd w:val="clear" w:color="auto" w:fill="auto"/>
          </w:tcPr>
          <w:p>
            <w:pPr>
              <w:widowControl/>
              <w:spacing w:line="360" w:lineRule="auto"/>
              <w:ind w:firstLine="420" w:firstLineChars="200"/>
              <w:jc w:val="left"/>
              <w:rPr>
                <w:rFonts w:ascii="仿宋_GB2312" w:hAnsi="宋体" w:eastAsia="仿宋_GB2312" w:cs="Arial"/>
                <w:bCs/>
                <w:color w:val="000000" w:themeColor="text1"/>
                <w:kern w:val="0"/>
                <w:szCs w:val="21"/>
                <w14:textFill>
                  <w14:solidFill>
                    <w14:schemeClr w14:val="tx1"/>
                  </w14:solidFill>
                </w14:textFill>
              </w:rPr>
            </w:pPr>
            <w:r>
              <w:rPr>
                <w:rFonts w:hint="eastAsia" w:ascii="仿宋_GB2312" w:hAnsi="宋体" w:eastAsia="仿宋_GB2312" w:cs="Arial"/>
                <w:bCs/>
                <w:color w:val="000000" w:themeColor="text1"/>
                <w:kern w:val="0"/>
                <w:szCs w:val="21"/>
                <w14:textFill>
                  <w14:solidFill>
                    <w14:schemeClr w14:val="tx1"/>
                  </w14:solidFill>
                </w14:textFill>
              </w:rPr>
              <w:t>1.数学分析、高等代数、解析几何、初等数论、概率统计、小学数学解题指导、小学数学课程与教学论；</w:t>
            </w:r>
          </w:p>
          <w:p>
            <w:pPr>
              <w:widowControl/>
              <w:spacing w:line="360" w:lineRule="auto"/>
              <w:ind w:firstLine="422" w:firstLineChars="200"/>
              <w:jc w:val="center"/>
              <w:rPr>
                <w:rFonts w:ascii="宋体" w:hAnsi="宋体" w:cs="Arial"/>
                <w:b/>
                <w:bCs/>
                <w:color w:val="000000" w:themeColor="text1"/>
                <w:kern w:val="0"/>
                <w:szCs w:val="21"/>
                <w14:textFill>
                  <w14:solidFill>
                    <w14:schemeClr w14:val="tx1"/>
                  </w14:solidFill>
                </w14:textFill>
              </w:rPr>
            </w:pPr>
          </w:p>
        </w:tc>
        <w:tc>
          <w:tcPr>
            <w:tcW w:w="1590" w:type="dxa"/>
            <w:shd w:val="clear" w:color="auto" w:fill="auto"/>
          </w:tcPr>
          <w:p>
            <w:pPr>
              <w:widowControl/>
              <w:spacing w:line="360" w:lineRule="auto"/>
              <w:ind w:firstLine="420" w:firstLineChars="200"/>
              <w:jc w:val="center"/>
              <w:rPr>
                <w:rFonts w:ascii="仿宋_GB2312" w:hAnsi="宋体" w:eastAsia="仿宋_GB2312" w:cs="Arial"/>
                <w:color w:val="000000" w:themeColor="text1"/>
                <w:kern w:val="0"/>
                <w:szCs w:val="21"/>
                <w14:textFill>
                  <w14:solidFill>
                    <w14:schemeClr w14:val="tx1"/>
                  </w14:solidFill>
                </w14:textFill>
              </w:rPr>
            </w:pPr>
            <w:r>
              <w:rPr>
                <w:rFonts w:hint="eastAsia" w:ascii="仿宋_GB2312" w:hAnsi="宋体" w:eastAsia="仿宋_GB2312" w:cs="Arial"/>
                <w:color w:val="000000" w:themeColor="text1"/>
                <w:kern w:val="0"/>
                <w:szCs w:val="21"/>
                <w14:textFill>
                  <w14:solidFill>
                    <w14:schemeClr w14:val="tx1"/>
                  </w14:solidFill>
                </w14:textFill>
              </w:rPr>
              <w:t>1.心理学基础、教育学基础、教育教学知识与能力、教师口语、书写技能、综合素质；</w:t>
            </w:r>
          </w:p>
          <w:p>
            <w:pPr>
              <w:widowControl/>
              <w:spacing w:line="360" w:lineRule="auto"/>
              <w:ind w:firstLine="422" w:firstLineChars="200"/>
              <w:rPr>
                <w:rFonts w:ascii="宋体" w:hAnsi="宋体" w:cs="Arial"/>
                <w:b/>
                <w:bCs/>
                <w:color w:val="000000" w:themeColor="text1"/>
                <w:kern w:val="0"/>
                <w:szCs w:val="21"/>
                <w14:textFill>
                  <w14:solidFill>
                    <w14:schemeClr w14:val="tx1"/>
                  </w14:solidFill>
                </w14:textFill>
              </w:rPr>
            </w:pPr>
            <w:r>
              <w:rPr>
                <w:rFonts w:ascii="宋体" w:hAnsi="宋体" w:cs="Arial"/>
                <w:b/>
                <w:bCs/>
                <w:color w:val="000000" w:themeColor="text1"/>
                <w:kern w:val="0"/>
                <w:szCs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2" w:hRule="atLeast"/>
        </w:trPr>
        <w:tc>
          <w:tcPr>
            <w:tcW w:w="959" w:type="dxa"/>
            <w:vMerge w:val="continue"/>
            <w:shd w:val="clear" w:color="auto" w:fill="auto"/>
          </w:tcPr>
          <w:p>
            <w:pPr>
              <w:widowControl/>
              <w:spacing w:line="360" w:lineRule="auto"/>
              <w:jc w:val="center"/>
              <w:rPr>
                <w:rFonts w:ascii="仿宋_GB2312" w:hAnsi="宋体" w:eastAsia="仿宋_GB2312" w:cs="Arial"/>
                <w:bCs/>
                <w:kern w:val="0"/>
                <w:szCs w:val="21"/>
              </w:rPr>
            </w:pPr>
          </w:p>
        </w:tc>
        <w:tc>
          <w:tcPr>
            <w:tcW w:w="1701" w:type="dxa"/>
            <w:shd w:val="clear" w:color="auto" w:fill="auto"/>
          </w:tcPr>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3.具备运用现代化教学手段的能力；</w:t>
            </w:r>
          </w:p>
          <w:p>
            <w:pPr>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4.具备粗浅的科学研究能力和可持续发展的专业能力。</w:t>
            </w:r>
          </w:p>
        </w:tc>
        <w:tc>
          <w:tcPr>
            <w:tcW w:w="3969" w:type="dxa"/>
            <w:shd w:val="clear" w:color="auto" w:fill="auto"/>
          </w:tcPr>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生管理工作。能有针对性地进行小学生心理辅导。</w:t>
            </w:r>
          </w:p>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4.制定学生课外活动计划，组织学生完成课外活动。</w:t>
            </w:r>
          </w:p>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5.定期组织家访、家长会等各种形式的家校交流活动。</w:t>
            </w:r>
          </w:p>
          <w:p>
            <w:pPr>
              <w:widowControl/>
              <w:spacing w:line="360" w:lineRule="auto"/>
              <w:jc w:val="left"/>
              <w:rPr>
                <w:rFonts w:ascii="仿宋_GB2312" w:hAnsi="宋体" w:eastAsia="仿宋_GB2312" w:cs="Arial"/>
                <w:bCs/>
                <w:kern w:val="0"/>
                <w:szCs w:val="21"/>
              </w:rPr>
            </w:pPr>
            <w:r>
              <w:rPr>
                <w:rFonts w:hint="eastAsia" w:ascii="仿宋_GB2312" w:hAnsi="宋体" w:eastAsia="仿宋_GB2312" w:cs="Arial"/>
                <w:bCs/>
                <w:kern w:val="0"/>
                <w:szCs w:val="21"/>
              </w:rPr>
              <w:t>6.参与小学数学教学研究和教学科研活动，对教育教学实践活动进行有效的自我诊断，提出改进思路；根据基础教育课程改革的动态和发展情况，制定自身的职业生涯发展规划。</w:t>
            </w:r>
          </w:p>
        </w:tc>
        <w:tc>
          <w:tcPr>
            <w:tcW w:w="1701" w:type="dxa"/>
            <w:shd w:val="clear" w:color="auto" w:fill="auto"/>
          </w:tcPr>
          <w:p>
            <w:pPr>
              <w:widowControl/>
              <w:spacing w:line="360" w:lineRule="auto"/>
              <w:ind w:firstLine="420" w:firstLineChars="200"/>
              <w:jc w:val="left"/>
              <w:rPr>
                <w:rFonts w:ascii="仿宋_GB2312" w:hAnsi="宋体" w:eastAsia="仿宋_GB2312" w:cs="Arial"/>
                <w:bCs/>
                <w:color w:val="000000" w:themeColor="text1"/>
                <w:kern w:val="0"/>
                <w:szCs w:val="21"/>
                <w14:textFill>
                  <w14:solidFill>
                    <w14:schemeClr w14:val="tx1"/>
                  </w14:solidFill>
                </w14:textFill>
              </w:rPr>
            </w:pPr>
            <w:r>
              <w:rPr>
                <w:rFonts w:hint="eastAsia" w:ascii="仿宋_GB2312" w:hAnsi="宋体" w:eastAsia="仿宋_GB2312" w:cs="Arial"/>
                <w:bCs/>
                <w:color w:val="000000" w:themeColor="text1"/>
                <w:kern w:val="0"/>
                <w:szCs w:val="21"/>
                <w14:textFill>
                  <w14:solidFill>
                    <w14:schemeClr w14:val="tx1"/>
                  </w14:solidFill>
                </w14:textFill>
              </w:rPr>
              <w:t>2.</w:t>
            </w:r>
            <w:r>
              <w:rPr>
                <w:rFonts w:ascii="仿宋_GB2312" w:hAnsi="宋体" w:eastAsia="仿宋_GB2312" w:cs="Arial"/>
                <w:bCs/>
                <w:color w:val="000000" w:themeColor="text1"/>
                <w:kern w:val="0"/>
                <w:szCs w:val="21"/>
                <w14:textFill>
                  <w14:solidFill>
                    <w14:schemeClr w14:val="tx1"/>
                  </w14:solidFill>
                </w14:textFill>
              </w:rPr>
              <w:t xml:space="preserve"> </w:t>
            </w:r>
            <w:r>
              <w:rPr>
                <w:rFonts w:hint="eastAsia" w:ascii="仿宋_GB2312" w:hAnsi="宋体" w:eastAsia="仿宋_GB2312" w:cs="Arial"/>
                <w:color w:val="000000" w:themeColor="text1"/>
                <w:kern w:val="0"/>
                <w:szCs w:val="21"/>
                <w14:textFill>
                  <w14:solidFill>
                    <w14:schemeClr w14:val="tx1"/>
                  </w14:solidFill>
                </w14:textFill>
              </w:rPr>
              <w:t>小学数学课程与教学论、教育教学知识与能力。</w:t>
            </w:r>
          </w:p>
          <w:p>
            <w:pPr>
              <w:widowControl/>
              <w:spacing w:line="360" w:lineRule="auto"/>
              <w:ind w:firstLine="420" w:firstLineChars="200"/>
              <w:jc w:val="left"/>
              <w:rPr>
                <w:rFonts w:ascii="仿宋_GB2312" w:hAnsi="宋体" w:eastAsia="仿宋_GB2312" w:cs="Arial"/>
                <w:bCs/>
                <w:color w:val="000000" w:themeColor="text1"/>
                <w:kern w:val="0"/>
                <w:szCs w:val="21"/>
                <w14:textFill>
                  <w14:solidFill>
                    <w14:schemeClr w14:val="tx1"/>
                  </w14:solidFill>
                </w14:textFill>
              </w:rPr>
            </w:pPr>
          </w:p>
        </w:tc>
        <w:tc>
          <w:tcPr>
            <w:tcW w:w="1590" w:type="dxa"/>
            <w:shd w:val="clear" w:color="auto" w:fill="auto"/>
          </w:tcPr>
          <w:p>
            <w:pPr>
              <w:widowControl/>
              <w:spacing w:line="360" w:lineRule="auto"/>
              <w:ind w:firstLine="420" w:firstLineChars="200"/>
              <w:jc w:val="left"/>
              <w:rPr>
                <w:rFonts w:ascii="仿宋_GB2312" w:hAnsi="宋体" w:eastAsia="仿宋_GB2312" w:cs="Arial"/>
                <w:color w:val="000000" w:themeColor="text1"/>
                <w:kern w:val="0"/>
                <w:szCs w:val="21"/>
                <w14:textFill>
                  <w14:solidFill>
                    <w14:schemeClr w14:val="tx1"/>
                  </w14:solidFill>
                </w14:textFill>
              </w:rPr>
            </w:pPr>
            <w:r>
              <w:rPr>
                <w:rFonts w:hint="eastAsia" w:ascii="仿宋_GB2312" w:hAnsi="宋体" w:eastAsia="仿宋_GB2312" w:cs="Arial"/>
                <w:color w:val="000000" w:themeColor="text1"/>
                <w:kern w:val="0"/>
                <w:szCs w:val="21"/>
                <w14:textFill>
                  <w14:solidFill>
                    <w14:schemeClr w14:val="tx1"/>
                  </w14:solidFill>
                </w14:textFill>
              </w:rPr>
              <w:t>2. 数字化教育技术应用、几何画板、数学素养、</w:t>
            </w:r>
          </w:p>
        </w:tc>
      </w:tr>
    </w:tbl>
    <w:p>
      <w:pPr>
        <w:spacing w:line="360" w:lineRule="auto"/>
        <w:ind w:firstLine="422" w:firstLineChars="200"/>
        <w:rPr>
          <w:rStyle w:val="8"/>
          <w:rFonts w:ascii="宋体" w:hAnsi="宋体"/>
          <w:szCs w:val="21"/>
        </w:rPr>
      </w:pPr>
    </w:p>
    <w:p>
      <w:pPr>
        <w:spacing w:line="360" w:lineRule="auto"/>
        <w:ind w:firstLine="417" w:firstLineChars="198"/>
        <w:rPr>
          <w:rFonts w:ascii="宋体" w:hAnsi="宋体"/>
          <w:b/>
          <w:bCs/>
          <w:szCs w:val="21"/>
        </w:rPr>
      </w:pPr>
      <w:r>
        <w:rPr>
          <w:rFonts w:hint="eastAsia" w:ascii="宋体" w:hAnsi="宋体"/>
          <w:b/>
          <w:szCs w:val="21"/>
        </w:rPr>
        <w:t>五</w:t>
      </w:r>
      <w:r>
        <w:rPr>
          <w:rFonts w:hint="eastAsia" w:ascii="宋体" w:hAnsi="宋体"/>
          <w:szCs w:val="21"/>
        </w:rPr>
        <w:t>、</w:t>
      </w:r>
      <w:r>
        <w:rPr>
          <w:rStyle w:val="8"/>
          <w:rFonts w:hint="eastAsia" w:ascii="宋体" w:hAnsi="宋体"/>
          <w:szCs w:val="21"/>
        </w:rPr>
        <w:t>培养目标</w:t>
      </w:r>
    </w:p>
    <w:p>
      <w:pPr>
        <w:spacing w:line="360" w:lineRule="auto"/>
        <w:ind w:firstLine="315" w:firstLineChars="150"/>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本专业立足粤西，面向广东地区，培养德、智、体、美、劳全面发展，具有一定的人文与科学素养，掌握数学学科的基本理论、基础知识与基本方法以及有良好的数学思维素质，能运用数学知识和数学技术解决实际问题，具备数学教学及教学研究的能力，能胜任各类小学教育机构的教学工作和管理工作的高素质应用型人才，并实现以下几个方面的职业能力发展的预期目标：</w:t>
      </w:r>
    </w:p>
    <w:p>
      <w:pPr>
        <w:pStyle w:val="15"/>
        <w:numPr>
          <w:ilvl w:val="0"/>
          <w:numId w:val="2"/>
        </w:numPr>
        <w:spacing w:line="360" w:lineRule="auto"/>
        <w:ind w:firstLineChars="0"/>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 xml:space="preserve">具有“学高身正、修己达人”为教师神圣职责的职业信念； 热爱儿童，具有博爱、童趣和童心的现代教师的教育情怀； </w:t>
      </w:r>
    </w:p>
    <w:p>
      <w:pPr>
        <w:pStyle w:val="15"/>
        <w:numPr>
          <w:ilvl w:val="0"/>
          <w:numId w:val="2"/>
        </w:numPr>
        <w:spacing w:line="360" w:lineRule="auto"/>
        <w:ind w:firstLineChars="0"/>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 xml:space="preserve">具备宽广的科学人文素养和扎实的数学专业基础与教学技能，具有创新精神和跨学科的知识结构与知识整合的能力； </w:t>
      </w:r>
    </w:p>
    <w:p>
      <w:pPr>
        <w:pStyle w:val="15"/>
        <w:numPr>
          <w:ilvl w:val="0"/>
          <w:numId w:val="2"/>
        </w:numPr>
        <w:spacing w:line="360" w:lineRule="auto"/>
        <w:ind w:firstLineChars="0"/>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具备在教育实践中运用学科知识、信息技术和教育理论知识，促进小学生全面、健康发展的教育教学能力；</w:t>
      </w:r>
    </w:p>
    <w:p>
      <w:pPr>
        <w:pStyle w:val="15"/>
        <w:numPr>
          <w:ilvl w:val="0"/>
          <w:numId w:val="2"/>
        </w:numPr>
        <w:spacing w:line="360" w:lineRule="auto"/>
        <w:ind w:firstLineChars="0"/>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具备自主学习，沟通合作，反思教育实践，分析和解决教育教学问题，促进专业持续发展的能力。</w:t>
      </w:r>
    </w:p>
    <w:p>
      <w:pPr>
        <w:spacing w:line="360" w:lineRule="auto"/>
        <w:ind w:firstLine="417" w:firstLineChars="198"/>
        <w:rPr>
          <w:rFonts w:ascii="宋体" w:hAnsi="宋体"/>
          <w:bCs/>
          <w:szCs w:val="21"/>
        </w:rPr>
      </w:pPr>
      <w:r>
        <w:rPr>
          <w:rFonts w:hint="eastAsia" w:ascii="宋体" w:hAnsi="宋体"/>
          <w:b/>
          <w:szCs w:val="21"/>
        </w:rPr>
        <w:t>六、</w:t>
      </w:r>
      <w:r>
        <w:rPr>
          <w:rStyle w:val="8"/>
          <w:rFonts w:hint="eastAsia" w:ascii="宋体" w:hAnsi="宋体"/>
          <w:szCs w:val="21"/>
        </w:rPr>
        <w:t>培养规格</w:t>
      </w:r>
    </w:p>
    <w:p>
      <w:pPr>
        <w:spacing w:line="400" w:lineRule="exact"/>
        <w:ind w:firstLine="435"/>
        <w:rPr>
          <w:b/>
        </w:rPr>
      </w:pPr>
      <w:r>
        <w:rPr>
          <w:rFonts w:hint="eastAsia"/>
          <w:b/>
        </w:rPr>
        <w:t>（一）素质</w:t>
      </w:r>
    </w:p>
    <w:p>
      <w:pPr>
        <w:pStyle w:val="15"/>
        <w:numPr>
          <w:ilvl w:val="0"/>
          <w:numId w:val="3"/>
        </w:numPr>
        <w:spacing w:line="360" w:lineRule="auto"/>
        <w:ind w:firstLineChars="0"/>
        <w:rPr>
          <w:rFonts w:ascii="宋体" w:hAnsi="宋体"/>
          <w:szCs w:val="21"/>
        </w:rPr>
      </w:pPr>
      <w:r>
        <w:rPr>
          <w:rFonts w:hint="eastAsia" w:ascii="宋体" w:hAnsi="宋体"/>
          <w:szCs w:val="21"/>
        </w:rPr>
        <w:t>思想政治素质：坚决拥护中国共产党领导，树立中国特色社会主义共同理想，践行社会主义核心价值观；理解贯彻党和国家的教育方针、政策，具有依法执教的意识，能恪守并践行教师的职业道德；具有社会责任感和担当精神。</w:t>
      </w:r>
    </w:p>
    <w:p>
      <w:pPr>
        <w:pStyle w:val="15"/>
        <w:numPr>
          <w:ilvl w:val="0"/>
          <w:numId w:val="3"/>
        </w:numPr>
        <w:spacing w:line="360" w:lineRule="auto"/>
        <w:ind w:firstLineChars="0"/>
        <w:rPr>
          <w:rFonts w:ascii="宋体" w:hAnsi="宋体"/>
          <w:szCs w:val="21"/>
        </w:rPr>
      </w:pPr>
      <w:r>
        <w:rPr>
          <w:rFonts w:hint="eastAsia" w:ascii="宋体" w:hAnsi="宋体"/>
          <w:szCs w:val="21"/>
        </w:rPr>
        <w:t>文化素质：具有人文底蕴和科学精神，形成“学生为本、师德为先、能力为重、终身学习”的专业理念；具备一定的人文社会科学与自然科学等方面的通识性知识。</w:t>
      </w:r>
    </w:p>
    <w:p>
      <w:pPr>
        <w:pStyle w:val="15"/>
        <w:numPr>
          <w:ilvl w:val="0"/>
          <w:numId w:val="3"/>
        </w:numPr>
        <w:spacing w:line="360" w:lineRule="auto"/>
        <w:ind w:firstLineChars="0"/>
        <w:rPr>
          <w:rFonts w:ascii="宋体" w:hAnsi="宋体"/>
          <w:szCs w:val="21"/>
        </w:rPr>
      </w:pPr>
      <w:r>
        <w:rPr>
          <w:rFonts w:hint="eastAsia" w:ascii="宋体" w:hAnsi="宋体"/>
          <w:szCs w:val="21"/>
        </w:rPr>
        <w:t>职业素质：热爱小学教育事业，具有正确的教育观、儿童观和教师观；乐于和儿童相处，具有童心、爱心、耐心、细心等优良品质；具有较强的集体意识和团队合作精神；具备较高的职业道德素养与解决实际问题的能力，能充分发挥个人主观能动性和创造性。</w:t>
      </w:r>
    </w:p>
    <w:p>
      <w:pPr>
        <w:pStyle w:val="15"/>
        <w:numPr>
          <w:ilvl w:val="0"/>
          <w:numId w:val="3"/>
        </w:numPr>
        <w:spacing w:line="360" w:lineRule="auto"/>
        <w:ind w:firstLineChars="0"/>
        <w:rPr>
          <w:rFonts w:ascii="宋体" w:hAnsi="宋体"/>
          <w:szCs w:val="21"/>
        </w:rPr>
      </w:pPr>
      <w:r>
        <w:rPr>
          <w:rFonts w:hint="eastAsia" w:ascii="宋体" w:hAnsi="宋体"/>
          <w:szCs w:val="21"/>
        </w:rPr>
        <w:t>身心素质：热爱生活，情绪稳定，积极上进，具有健康的体魄、高雅的情趣和健全的人格；掌握科学的身心保健方法；具有良好的生活习惯、行为习惯和自我管理能力；能正确评价并调控自己。具备较强的职业认同感和心理适应能力。</w:t>
      </w:r>
    </w:p>
    <w:p>
      <w:pPr>
        <w:spacing w:line="400" w:lineRule="exact"/>
        <w:ind w:firstLine="316" w:firstLineChars="150"/>
        <w:rPr>
          <w:b/>
        </w:rPr>
      </w:pPr>
      <w:r>
        <w:rPr>
          <w:rFonts w:hint="eastAsia"/>
          <w:b/>
        </w:rPr>
        <w:t xml:space="preserve">（二）知识 </w:t>
      </w:r>
    </w:p>
    <w:p>
      <w:pPr>
        <w:pStyle w:val="15"/>
        <w:numPr>
          <w:ilvl w:val="0"/>
          <w:numId w:val="3"/>
        </w:numPr>
        <w:spacing w:line="360" w:lineRule="auto"/>
        <w:ind w:firstLineChars="0"/>
        <w:rPr>
          <w:rFonts w:ascii="宋体" w:hAnsi="宋体"/>
          <w:szCs w:val="21"/>
        </w:rPr>
      </w:pPr>
      <w:r>
        <w:rPr>
          <w:rFonts w:hint="eastAsia" w:ascii="宋体" w:hAnsi="宋体"/>
          <w:szCs w:val="21"/>
        </w:rPr>
        <w:t>掌握本专业培养目标所要求的基础理论知识、专业知识和技能；理解数学学科的知识体系、思想方法和核心素养；了解语文学科和科学学科的基本知识、基本原理和基本技能，并具备一定的其他学科基本知识。</w:t>
      </w:r>
    </w:p>
    <w:p>
      <w:pPr>
        <w:pStyle w:val="15"/>
        <w:numPr>
          <w:ilvl w:val="0"/>
          <w:numId w:val="3"/>
        </w:numPr>
        <w:spacing w:line="360" w:lineRule="auto"/>
        <w:ind w:firstLineChars="0"/>
        <w:rPr>
          <w:rFonts w:ascii="宋体" w:hAnsi="宋体"/>
          <w:szCs w:val="21"/>
        </w:rPr>
      </w:pPr>
      <w:r>
        <w:rPr>
          <w:rFonts w:hint="eastAsia" w:ascii="宋体" w:hAnsi="宋体"/>
          <w:szCs w:val="21"/>
        </w:rPr>
        <w:t>掌握小学数学教育的基本理论、基本知识和基本能力，熟练掌握现代教学理念、教学方法和教学策略；熟悉所教学科的课程标准和教学知识。</w:t>
      </w:r>
    </w:p>
    <w:p>
      <w:pPr>
        <w:pStyle w:val="15"/>
        <w:numPr>
          <w:ilvl w:val="0"/>
          <w:numId w:val="3"/>
        </w:numPr>
        <w:spacing w:line="360" w:lineRule="auto"/>
        <w:ind w:firstLineChars="0"/>
        <w:rPr>
          <w:rFonts w:ascii="宋体" w:hAnsi="宋体"/>
          <w:szCs w:val="21"/>
        </w:rPr>
      </w:pPr>
      <w:r>
        <w:rPr>
          <w:rFonts w:hint="eastAsia" w:ascii="宋体" w:hAnsi="宋体"/>
          <w:szCs w:val="21"/>
        </w:rPr>
        <w:t>具备一定的人文社会科学与自然科学等方面的通识性知识专业技能，知晓相应的自然科学和人文社会科学知识，掌握必备的思想政治理论和中华优秀传统文化知识，具有相应的艺术欣赏与表现知识，掌握适应教育内容、教学手段和方法现代化的信息技术知识。</w:t>
      </w:r>
    </w:p>
    <w:p>
      <w:pPr>
        <w:pStyle w:val="15"/>
        <w:numPr>
          <w:ilvl w:val="0"/>
          <w:numId w:val="3"/>
        </w:numPr>
        <w:spacing w:line="360" w:lineRule="auto"/>
        <w:ind w:firstLineChars="0"/>
        <w:rPr>
          <w:rFonts w:ascii="宋体" w:hAnsi="宋体"/>
          <w:szCs w:val="21"/>
        </w:rPr>
      </w:pPr>
      <w:r>
        <w:rPr>
          <w:rFonts w:hint="eastAsia" w:ascii="宋体" w:hAnsi="宋体"/>
          <w:szCs w:val="21"/>
        </w:rPr>
        <w:t>掌握课堂组织、实施、指导、管理和教学反思基本素质，具备根据儿童身心发展的规律去教书育人的能力，熟悉小学班级管理工作的主要内容，掌握班级组织与建设的工作规律、一般程序和基本方法。</w:t>
      </w:r>
    </w:p>
    <w:p>
      <w:pPr>
        <w:numPr>
          <w:ilvl w:val="0"/>
          <w:numId w:val="4"/>
        </w:numPr>
        <w:ind w:firstLine="316" w:firstLineChars="150"/>
        <w:rPr>
          <w:b/>
        </w:rPr>
      </w:pPr>
      <w:r>
        <w:rPr>
          <w:rFonts w:hint="eastAsia"/>
          <w:b/>
        </w:rPr>
        <w:t>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具有运用钢笔字、毛笔字、粉笔字、普通话、数学作图、导入、讲解、提问、演示、板书等进行教学的能力；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具有策划与组织小学生班队活动、指导综合实践活动的能力，具有小学班级管理的能力；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具有依据不同阶段小学生身心发展和品行养成的特点与规律，运用恰当的教育方法，促进小学生理解数学知识的能力；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具有从整体结构上理解和把握小学数学知识体系的能力；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具有教育教学计划制订、小学数学教学设计、教学组织与实施、教育评价的能力；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具有教学反思与持续改进工作的能力，具有小学数学教学资源开发与利用的能力；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具有适应智能化、数字化发展需求的基本数字技能，具有小学教育领域的专业信息技术能力；</w:t>
      </w:r>
    </w:p>
    <w:p>
      <w:pPr>
        <w:pStyle w:val="15"/>
        <w:numPr>
          <w:ilvl w:val="0"/>
          <w:numId w:val="5"/>
        </w:numPr>
        <w:spacing w:line="360" w:lineRule="auto"/>
        <w:ind w:left="0" w:firstLine="397"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具有探究学习、终身学习和可持续发展的能力。</w:t>
      </w:r>
    </w:p>
    <w:p>
      <w:pPr>
        <w:spacing w:line="360" w:lineRule="auto"/>
        <w:ind w:firstLine="417" w:firstLineChars="198"/>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6"/>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6"/>
        </w:num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课一般包括专业基础课程、专业核心课程、专业拓展课程，并涵盖有关实践性教学环节。专业课分两个岗位方向，分别为专插本岗位与就业岗位，不同岗位核心课程不同。学生可以根据自己的个性特点选择对应岗位。学生在第三学期末进行岗位的选择，从第四学期开始按所选岗位进行上课。</w:t>
      </w:r>
    </w:p>
    <w:p>
      <w:pPr>
        <w:spacing w:line="400" w:lineRule="exact"/>
        <w:ind w:firstLine="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专业基础课程举例：心理学基础、教育学基础、教育教学知识与能力、数字化教育技术应用、教师口语、书写技能、综合素质。</w:t>
      </w:r>
    </w:p>
    <w:p>
      <w:pPr>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专业核心课程举例：数学分析、高等代数、解析几何、概率与数理统计、小学数学课程与教学、小学数学解题指导。</w:t>
      </w:r>
    </w:p>
    <w:p>
      <w:pPr>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专业拓展课举例：组合数学、教育理论、管理学、初等数学研究、线性规划、初等数论、几何画板、数学素养。</w:t>
      </w:r>
    </w:p>
    <w:p>
      <w:pPr>
        <w:numPr>
          <w:ilvl w:val="0"/>
          <w:numId w:val="6"/>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235"/>
        <w:gridCol w:w="6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5" w:type="pct"/>
            <w:vAlign w:val="center"/>
          </w:tcPr>
          <w:p>
            <w:pPr>
              <w:spacing w:line="40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1154" w:type="pct"/>
            <w:vAlign w:val="center"/>
          </w:tcPr>
          <w:p>
            <w:pPr>
              <w:spacing w:line="40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专业核心课名称</w:t>
            </w:r>
          </w:p>
        </w:tc>
        <w:tc>
          <w:tcPr>
            <w:tcW w:w="3462" w:type="pct"/>
            <w:vAlign w:val="center"/>
          </w:tcPr>
          <w:p>
            <w:pPr>
              <w:spacing w:line="40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1</w:t>
            </w:r>
          </w:p>
        </w:tc>
        <w:tc>
          <w:tcPr>
            <w:tcW w:w="1154"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数学分析</w:t>
            </w:r>
          </w:p>
        </w:tc>
        <w:tc>
          <w:tcPr>
            <w:tcW w:w="3462" w:type="pct"/>
            <w:vAlign w:val="center"/>
          </w:tcPr>
          <w:p>
            <w:pPr>
              <w:spacing w:line="36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函数、极限、连续函数、导数与微分、微分学基本定理及应用、不定积分、定积分、级数论和多元微积分学。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w:t>
            </w:r>
          </w:p>
        </w:tc>
        <w:tc>
          <w:tcPr>
            <w:tcW w:w="1154"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高等代数</w:t>
            </w:r>
          </w:p>
        </w:tc>
        <w:tc>
          <w:tcPr>
            <w:tcW w:w="3462" w:type="pct"/>
            <w:vAlign w:val="center"/>
          </w:tcPr>
          <w:p>
            <w:pPr>
              <w:spacing w:line="36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多项式理论、行列式、 线性方程组和矩阵、二次型、线性空间和线性变换、特征值、欧氏空间二次型等内容。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3</w:t>
            </w:r>
          </w:p>
        </w:tc>
        <w:tc>
          <w:tcPr>
            <w:tcW w:w="1154" w:type="pct"/>
            <w:vAlign w:val="center"/>
          </w:tcPr>
          <w:p>
            <w:pPr>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解析几何</w:t>
            </w:r>
          </w:p>
        </w:tc>
        <w:tc>
          <w:tcPr>
            <w:tcW w:w="3462" w:type="pct"/>
            <w:vAlign w:val="center"/>
          </w:tcPr>
          <w:p>
            <w:pPr>
              <w:spacing w:line="36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向量及其运算；空间曲面及方程；空间曲线及方程；空间曲面与曲线。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4</w:t>
            </w:r>
          </w:p>
        </w:tc>
        <w:tc>
          <w:tcPr>
            <w:tcW w:w="1154"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概率论与数理统</w:t>
            </w:r>
          </w:p>
        </w:tc>
        <w:tc>
          <w:tcPr>
            <w:tcW w:w="3462" w:type="pct"/>
            <w:vAlign w:val="center"/>
          </w:tcPr>
          <w:p>
            <w:pPr>
              <w:spacing w:line="36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概率的求解方法、随机变量及其特征数、常用分布；数据的整理、统计量及其分布、三大抽样分布。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5</w:t>
            </w:r>
          </w:p>
        </w:tc>
        <w:tc>
          <w:tcPr>
            <w:tcW w:w="1154"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小学数学解题指导</w:t>
            </w:r>
          </w:p>
        </w:tc>
        <w:tc>
          <w:tcPr>
            <w:tcW w:w="3462" w:type="pct"/>
            <w:vAlign w:val="center"/>
          </w:tcPr>
          <w:p>
            <w:pPr>
              <w:spacing w:line="36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小学数学解题方法的研究和小学数学竞赛题型的研究。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5"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6</w:t>
            </w:r>
          </w:p>
        </w:tc>
        <w:tc>
          <w:tcPr>
            <w:tcW w:w="1154" w:type="pct"/>
            <w:vAlign w:val="center"/>
          </w:tcPr>
          <w:p>
            <w:pPr>
              <w:spacing w:line="400" w:lineRule="exact"/>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小学数学课程与教学论</w:t>
            </w:r>
          </w:p>
        </w:tc>
        <w:tc>
          <w:tcPr>
            <w:tcW w:w="3462" w:type="pct"/>
            <w:vAlign w:val="center"/>
          </w:tcPr>
          <w:p>
            <w:pPr>
              <w:spacing w:line="36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小学数学课程的目标和内容、小学数学教材、小学数学学习过程、小学数学教学设计、小学数学教学实施、小学数学四大模块的教学与小学数学教学评价等。</w:t>
            </w:r>
          </w:p>
        </w:tc>
      </w:tr>
    </w:tbl>
    <w:p>
      <w:pPr>
        <w:spacing w:line="400" w:lineRule="exact"/>
        <w:rPr>
          <w:rFonts w:ascii="宋体" w:hAnsi="宋体"/>
          <w:b/>
        </w:rPr>
      </w:pPr>
    </w:p>
    <w:p>
      <w:pPr>
        <w:spacing w:line="360" w:lineRule="exact"/>
        <w:ind w:firstLine="420"/>
        <w:outlineLvl w:val="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本专业总学时为</w:t>
      </w:r>
      <w:r>
        <w:rPr>
          <w:rFonts w:ascii="宋体" w:hAnsi="宋体"/>
          <w:bCs/>
          <w:color w:val="000000" w:themeColor="text1"/>
          <w14:textFill>
            <w14:solidFill>
              <w14:schemeClr w14:val="tx1"/>
            </w14:solidFill>
          </w14:textFill>
        </w:rPr>
        <w:t>2</w:t>
      </w:r>
      <w:r>
        <w:rPr>
          <w:rFonts w:hint="eastAsia" w:ascii="宋体" w:hAnsi="宋体"/>
          <w:bCs/>
          <w:color w:val="000000" w:themeColor="text1"/>
          <w:lang w:val="en-US" w:eastAsia="zh-CN"/>
          <w14:textFill>
            <w14:solidFill>
              <w14:schemeClr w14:val="tx1"/>
            </w14:solidFill>
          </w14:textFill>
        </w:rPr>
        <w:t>49</w:t>
      </w:r>
      <w:r>
        <w:rPr>
          <w:rFonts w:ascii="宋体" w:hAnsi="宋体"/>
          <w:bCs/>
          <w:color w:val="000000" w:themeColor="text1"/>
          <w14:textFill>
            <w14:solidFill>
              <w14:schemeClr w14:val="tx1"/>
            </w14:solidFill>
          </w14:textFill>
        </w:rPr>
        <w:t>0</w:t>
      </w:r>
      <w:r>
        <w:rPr>
          <w:rFonts w:hint="eastAsia" w:ascii="宋体" w:hAnsi="宋体"/>
          <w:bCs/>
          <w:color w:val="000000" w:themeColor="text1"/>
          <w14:textFill>
            <w14:solidFill>
              <w14:schemeClr w14:val="tx1"/>
            </w14:solidFill>
          </w14:textFill>
        </w:rPr>
        <w:t>学时，其中实践性教学学时为</w:t>
      </w:r>
      <w:r>
        <w:rPr>
          <w:rFonts w:ascii="宋体" w:hAnsi="宋体"/>
          <w:bCs/>
          <w:color w:val="000000" w:themeColor="text1"/>
          <w14:textFill>
            <w14:solidFill>
              <w14:schemeClr w14:val="tx1"/>
            </w14:solidFill>
          </w14:textFill>
        </w:rPr>
        <w:t>1</w:t>
      </w:r>
      <w:r>
        <w:rPr>
          <w:rFonts w:hint="eastAsia" w:ascii="宋体" w:hAnsi="宋体"/>
          <w:bCs/>
          <w:color w:val="000000" w:themeColor="text1"/>
          <w:lang w:val="en-US" w:eastAsia="zh-CN"/>
          <w14:textFill>
            <w14:solidFill>
              <w14:schemeClr w14:val="tx1"/>
            </w14:solidFill>
          </w14:textFill>
        </w:rPr>
        <w:t>262</w:t>
      </w:r>
      <w:r>
        <w:rPr>
          <w:rFonts w:hint="eastAsia" w:ascii="宋体" w:hAnsi="宋体"/>
          <w:bCs/>
          <w:color w:val="000000" w:themeColor="text1"/>
          <w14:textFill>
            <w14:solidFill>
              <w14:schemeClr w14:val="tx1"/>
            </w14:solidFill>
          </w14:textFill>
        </w:rPr>
        <w:t>学时，占总学时的</w:t>
      </w:r>
      <w:r>
        <w:rPr>
          <w:rFonts w:hint="eastAsia" w:ascii="宋体" w:hAnsi="宋体"/>
          <w:bCs/>
          <w:color w:val="000000" w:themeColor="text1"/>
          <w:lang w:val="en-US" w:eastAsia="zh-CN"/>
          <w14:textFill>
            <w14:solidFill>
              <w14:schemeClr w14:val="tx1"/>
            </w14:solidFill>
          </w14:textFill>
        </w:rPr>
        <w:t>50</w:t>
      </w:r>
      <w:r>
        <w:rPr>
          <w:rFonts w:ascii="宋体" w:hAnsi="宋体"/>
          <w:bCs/>
          <w:color w:val="000000" w:themeColor="text1"/>
          <w14:textFill>
            <w14:solidFill>
              <w14:schemeClr w14:val="tx1"/>
            </w14:solidFill>
          </w14:textFill>
        </w:rPr>
        <w:t>.</w:t>
      </w:r>
      <w:r>
        <w:rPr>
          <w:rFonts w:hint="eastAsia" w:ascii="宋体" w:hAnsi="宋体"/>
          <w:bCs/>
          <w:color w:val="000000" w:themeColor="text1"/>
          <w:lang w:val="en-US" w:eastAsia="zh-CN"/>
          <w14:textFill>
            <w14:solidFill>
              <w14:schemeClr w14:val="tx1"/>
            </w14:solidFill>
          </w14:textFill>
        </w:rPr>
        <w:t>68</w:t>
      </w:r>
      <w:r>
        <w:rPr>
          <w:rFonts w:hint="eastAsia" w:ascii="宋体" w:hAnsi="宋体"/>
          <w:bCs/>
          <w:color w:val="000000" w:themeColor="text1"/>
          <w14:textFill>
            <w14:solidFill>
              <w14:schemeClr w14:val="tx1"/>
            </w14:solidFill>
          </w14:textFill>
        </w:rPr>
        <w:t>% 。其中，顶岗实习为6个月，约</w:t>
      </w:r>
      <w:r>
        <w:rPr>
          <w:rFonts w:ascii="宋体" w:hAnsi="宋体"/>
          <w:bCs/>
          <w:color w:val="000000" w:themeColor="text1"/>
          <w14:textFill>
            <w14:solidFill>
              <w14:schemeClr w14:val="tx1"/>
            </w14:solidFill>
          </w14:textFill>
        </w:rPr>
        <w:t>420</w:t>
      </w:r>
      <w:r>
        <w:rPr>
          <w:rFonts w:hint="eastAsia" w:ascii="宋体" w:hAnsi="宋体"/>
          <w:bCs/>
          <w:color w:val="000000" w:themeColor="text1"/>
          <w14:textFill>
            <w14:solidFill>
              <w14:schemeClr w14:val="tx1"/>
            </w14:solidFill>
          </w14:textFill>
        </w:rPr>
        <w:t>学时。</w:t>
      </w:r>
    </w:p>
    <w:p>
      <w:pPr>
        <w:ind w:firstLine="420"/>
        <w:rPr>
          <w:rFonts w:ascii="宋体" w:hAnsi="宋体"/>
          <w:bCs/>
          <w:color w:val="FF0000"/>
        </w:rPr>
      </w:pPr>
      <w:r>
        <w:drawing>
          <wp:inline distT="0" distB="0" distL="114300" distR="114300">
            <wp:extent cx="5629275" cy="3286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6"/>
                    <a:stretch>
                      <a:fillRect/>
                    </a:stretch>
                  </pic:blipFill>
                  <pic:spPr>
                    <a:xfrm>
                      <a:off x="0" y="0"/>
                      <a:ext cx="5629275" cy="3286125"/>
                    </a:xfrm>
                    <a:prstGeom prst="rect">
                      <a:avLst/>
                    </a:prstGeom>
                    <a:noFill/>
                    <a:ln>
                      <a:noFill/>
                    </a:ln>
                  </pic:spPr>
                </pic:pic>
              </a:graphicData>
            </a:graphic>
          </wp:inline>
        </w:drawing>
      </w: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八</w:t>
      </w:r>
      <w:r>
        <w:rPr>
          <w:rFonts w:hint="eastAsia" w:ascii="宋体" w:hAnsi="宋体"/>
          <w:b/>
          <w:bCs/>
          <w:szCs w:val="21"/>
        </w:rPr>
        <w:t>、教学基本条件</w:t>
      </w:r>
    </w:p>
    <w:p>
      <w:pPr>
        <w:spacing w:line="360" w:lineRule="auto"/>
        <w:ind w:firstLine="422" w:firstLineChars="200"/>
        <w:outlineLvl w:val="0"/>
        <w:rPr>
          <w:rStyle w:val="8"/>
          <w:rFonts w:ascii="宋体" w:hAnsi="宋体"/>
          <w:szCs w:val="21"/>
        </w:rPr>
      </w:pPr>
      <w:r>
        <w:rPr>
          <w:rStyle w:val="8"/>
          <w:rFonts w:hint="eastAsia" w:ascii="宋体" w:hAnsi="宋体"/>
          <w:szCs w:val="21"/>
        </w:rPr>
        <w:t>（一）教师队伍</w:t>
      </w:r>
    </w:p>
    <w:p>
      <w:pPr>
        <w:spacing w:line="400" w:lineRule="exact"/>
        <w:ind w:firstLine="420"/>
        <w:jc w:val="center"/>
        <w:rPr>
          <w:rFonts w:ascii="宋体" w:hAnsi="宋体"/>
          <w:szCs w:val="21"/>
        </w:rPr>
      </w:pPr>
    </w:p>
    <w:p>
      <w:pPr>
        <w:spacing w:line="400" w:lineRule="exact"/>
        <w:ind w:firstLine="420"/>
        <w:jc w:val="center"/>
        <w:rPr>
          <w:rFonts w:ascii="宋体" w:hAnsi="宋体"/>
          <w:b/>
          <w:szCs w:val="21"/>
        </w:rPr>
      </w:pPr>
      <w:r>
        <w:rPr>
          <w:rFonts w:hint="eastAsia" w:ascii="宋体" w:hAnsi="宋体"/>
          <w:b/>
          <w:szCs w:val="21"/>
        </w:rPr>
        <w:t>专任教师一览表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945"/>
        <w:gridCol w:w="591"/>
        <w:gridCol w:w="1075"/>
        <w:gridCol w:w="1389"/>
        <w:gridCol w:w="1181"/>
        <w:gridCol w:w="97"/>
        <w:gridCol w:w="1178"/>
        <w:gridCol w:w="726"/>
        <w:gridCol w:w="455"/>
        <w:gridCol w:w="1272"/>
        <w:gridCol w:w="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简艺</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高级讲师、院长</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大学本科</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罗庆仙</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讲师、党总支书记</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刘峥嵘</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副教授、财务部部长</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本科、硕士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马磊</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副教授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曾春燕</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副教授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陈锦玲</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杨萃</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蒋雪英</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梁会</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徐苏柳</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涂康</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本科、硕士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杜玉坤</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讲师</w:t>
            </w:r>
          </w:p>
        </w:tc>
        <w:tc>
          <w:tcPr>
            <w:tcW w:w="98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孙营</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讲师</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张建梅</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黎艺婵</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本科、学士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梁大成</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钟妮珊</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杨婷梅</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龙能</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廖嫒嫒</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21</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张颖</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78" w:type="pct"/>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22</w:t>
            </w:r>
          </w:p>
        </w:tc>
        <w:tc>
          <w:tcPr>
            <w:tcW w:w="793" w:type="pct"/>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吴星幻</w:t>
            </w:r>
          </w:p>
        </w:tc>
        <w:tc>
          <w:tcPr>
            <w:tcW w:w="1932"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助教</w:t>
            </w:r>
          </w:p>
        </w:tc>
        <w:tc>
          <w:tcPr>
            <w:tcW w:w="983" w:type="pct"/>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rPr>
              <w:t>研究生、硕士</w:t>
            </w:r>
          </w:p>
        </w:tc>
        <w:tc>
          <w:tcPr>
            <w:tcW w:w="914" w:type="pct"/>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5" w:hRule="atLeast"/>
          <w:jc w:val="center"/>
        </w:trPr>
        <w:tc>
          <w:tcPr>
            <w:tcW w:w="866"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157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1268"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2"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7"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9.09%</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40.91%</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40.91%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6" w:hRule="atLeast"/>
          <w:jc w:val="center"/>
        </w:trPr>
        <w:tc>
          <w:tcPr>
            <w:tcW w:w="866"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157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1268"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1"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0"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31.82%</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10</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45.45%</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5" w:hRule="atLeast"/>
          <w:jc w:val="center"/>
        </w:trPr>
        <w:tc>
          <w:tcPr>
            <w:tcW w:w="866"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157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1268"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126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9"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9"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0</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15</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68.18%</w:t>
            </w:r>
          </w:p>
        </w:tc>
        <w:tc>
          <w:tcPr>
            <w:tcW w:w="61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6</w:t>
            </w:r>
          </w:p>
        </w:tc>
        <w:tc>
          <w:tcPr>
            <w:tcW w:w="65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27.27%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105" w:hRule="atLeast"/>
          <w:jc w:val="center"/>
        </w:trPr>
        <w:tc>
          <w:tcPr>
            <w:tcW w:w="866"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157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1268"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1267" w:type="pct"/>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51"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0"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13</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59.09%</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9</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40.91%</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75" w:hRule="atLeast"/>
          <w:jc w:val="center"/>
        </w:trPr>
        <w:tc>
          <w:tcPr>
            <w:tcW w:w="866" w:type="pct"/>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1577"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1268" w:type="pct"/>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1267" w:type="pct"/>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4"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pct"/>
          <w:trHeight w:val="269" w:hRule="atLeast"/>
          <w:jc w:val="center"/>
        </w:trPr>
        <w:tc>
          <w:tcPr>
            <w:tcW w:w="866"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60"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15</w:t>
            </w:r>
          </w:p>
        </w:tc>
        <w:tc>
          <w:tcPr>
            <w:tcW w:w="717"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ascii="宋体" w:hAnsi="宋体" w:cs="宋体"/>
                <w:szCs w:val="21"/>
              </w:rPr>
              <w:t>68.18%</w:t>
            </w:r>
          </w:p>
        </w:tc>
        <w:tc>
          <w:tcPr>
            <w:tcW w:w="610"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7</w:t>
            </w:r>
          </w:p>
        </w:tc>
        <w:tc>
          <w:tcPr>
            <w:tcW w:w="658" w:type="pct"/>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31.82%</w:t>
            </w:r>
          </w:p>
        </w:tc>
        <w:tc>
          <w:tcPr>
            <w:tcW w:w="1267"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（二）教学设施</w:t>
      </w:r>
    </w:p>
    <w:p>
      <w:pPr>
        <w:spacing w:line="420" w:lineRule="exact"/>
        <w:ind w:firstLine="420" w:firstLineChars="200"/>
        <w:rPr>
          <w:rFonts w:ascii="宋体" w:hAnsi="宋体"/>
          <w:bCs/>
          <w:color w:val="000000" w:themeColor="text1"/>
          <w:position w:val="6"/>
          <w14:textFill>
            <w14:solidFill>
              <w14:schemeClr w14:val="tx1"/>
            </w14:solidFill>
          </w14:textFill>
        </w:rPr>
      </w:pPr>
      <w:r>
        <w:rPr>
          <w:rFonts w:hint="eastAsia" w:ascii="宋体" w:hAnsi="宋体"/>
          <w:bCs/>
          <w:color w:val="000000" w:themeColor="text1"/>
          <w:position w:val="6"/>
          <w14:textFill>
            <w14:solidFill>
              <w14:schemeClr w14:val="tx1"/>
            </w14:solidFill>
          </w14:textFill>
        </w:rPr>
        <w:t>本专业有校内实训基地两个，分别是教学知识与能力实践基地与基本功与技能实践基地，校内实训室有5类20多个，可以提供所有上机实训。校外实训基地30个，可以提供学生校外真实项目实训。</w:t>
      </w:r>
    </w:p>
    <w:p>
      <w:pPr>
        <w:spacing w:line="420" w:lineRule="exact"/>
        <w:ind w:firstLine="422" w:firstLineChars="200"/>
        <w:jc w:val="center"/>
        <w:rPr>
          <w:rFonts w:ascii="宋体" w:hAnsi="宋体"/>
          <w:b/>
          <w:position w:val="6"/>
        </w:rPr>
      </w:pPr>
      <w:r>
        <w:rPr>
          <w:rFonts w:hint="eastAsia" w:ascii="宋体" w:hAnsi="宋体"/>
          <w:b/>
          <w:bCs/>
          <w:position w:val="6"/>
        </w:rPr>
        <w:t>校内实训基地一览表</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1577"/>
        <w:gridCol w:w="829"/>
        <w:gridCol w:w="1623"/>
        <w:gridCol w:w="2449"/>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42" w:type="pct"/>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814" w:type="pct"/>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428" w:type="pct"/>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838" w:type="pct"/>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264" w:type="pct"/>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1113" w:type="pct"/>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542" w:type="pct"/>
            <w:vAlign w:val="center"/>
          </w:tcPr>
          <w:p>
            <w:pPr>
              <w:widowControl/>
              <w:jc w:val="center"/>
              <w:rPr>
                <w:rFonts w:ascii="宋体" w:hAnsi="宋体" w:cs="宋体"/>
                <w:kern w:val="0"/>
                <w:szCs w:val="21"/>
              </w:rPr>
            </w:pPr>
            <w:r>
              <w:rPr>
                <w:rFonts w:hint="eastAsia" w:ascii="宋体" w:hAnsi="宋体" w:cs="宋体"/>
                <w:kern w:val="0"/>
                <w:szCs w:val="21"/>
              </w:rPr>
              <w:t>1</w:t>
            </w:r>
          </w:p>
        </w:tc>
        <w:tc>
          <w:tcPr>
            <w:tcW w:w="81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数学建模室</w:t>
            </w:r>
          </w:p>
        </w:tc>
        <w:tc>
          <w:tcPr>
            <w:tcW w:w="42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高州</w:t>
            </w:r>
          </w:p>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师训楼</w:t>
            </w:r>
          </w:p>
        </w:tc>
        <w:tc>
          <w:tcPr>
            <w:tcW w:w="83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数学建模</w:t>
            </w:r>
          </w:p>
        </w:tc>
        <w:tc>
          <w:tcPr>
            <w:tcW w:w="126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计算机、编程网络智能中央控制器、投影机、数字处理器、实物投影仪等</w:t>
            </w:r>
          </w:p>
        </w:tc>
        <w:tc>
          <w:tcPr>
            <w:tcW w:w="1113"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数学建模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542" w:type="pct"/>
            <w:vAlign w:val="center"/>
          </w:tcPr>
          <w:p>
            <w:pPr>
              <w:widowControl/>
              <w:jc w:val="center"/>
              <w:rPr>
                <w:rFonts w:ascii="宋体" w:hAnsi="宋体" w:cs="宋体"/>
                <w:kern w:val="0"/>
                <w:szCs w:val="21"/>
              </w:rPr>
            </w:pPr>
            <w:r>
              <w:rPr>
                <w:rFonts w:hint="eastAsia" w:ascii="宋体" w:hAnsi="宋体" w:cs="宋体"/>
                <w:kern w:val="0"/>
                <w:szCs w:val="21"/>
              </w:rPr>
              <w:t>2</w:t>
            </w:r>
          </w:p>
        </w:tc>
        <w:tc>
          <w:tcPr>
            <w:tcW w:w="81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微格教室</w:t>
            </w:r>
          </w:p>
        </w:tc>
        <w:tc>
          <w:tcPr>
            <w:tcW w:w="42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高州</w:t>
            </w:r>
          </w:p>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师训楼</w:t>
            </w:r>
          </w:p>
        </w:tc>
        <w:tc>
          <w:tcPr>
            <w:tcW w:w="83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教育教学知识与能力、小学数学课程与教学</w:t>
            </w:r>
          </w:p>
        </w:tc>
        <w:tc>
          <w:tcPr>
            <w:tcW w:w="126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计算机、录播工具等</w:t>
            </w:r>
          </w:p>
        </w:tc>
        <w:tc>
          <w:tcPr>
            <w:tcW w:w="1113"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教学知识与能力实践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542" w:type="pct"/>
            <w:vAlign w:val="center"/>
          </w:tcPr>
          <w:p>
            <w:pPr>
              <w:widowControl/>
              <w:jc w:val="center"/>
              <w:rPr>
                <w:rFonts w:ascii="宋体" w:hAnsi="宋体" w:cs="宋体"/>
                <w:kern w:val="0"/>
                <w:szCs w:val="21"/>
              </w:rPr>
            </w:pPr>
            <w:r>
              <w:rPr>
                <w:rFonts w:hint="eastAsia" w:ascii="宋体" w:hAnsi="宋体" w:cs="宋体"/>
                <w:kern w:val="0"/>
                <w:szCs w:val="21"/>
              </w:rPr>
              <w:t>3</w:t>
            </w:r>
          </w:p>
        </w:tc>
        <w:tc>
          <w:tcPr>
            <w:tcW w:w="81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计算机机房</w:t>
            </w:r>
          </w:p>
        </w:tc>
        <w:tc>
          <w:tcPr>
            <w:tcW w:w="42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高州</w:t>
            </w:r>
          </w:p>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师训楼</w:t>
            </w:r>
          </w:p>
        </w:tc>
        <w:tc>
          <w:tcPr>
            <w:tcW w:w="83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数字化教育技术应用、几何画板</w:t>
            </w:r>
          </w:p>
        </w:tc>
        <w:tc>
          <w:tcPr>
            <w:tcW w:w="126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计算机、编程网络智能中央控制器、投影机、数字处理器、实物投影仪等</w:t>
            </w:r>
          </w:p>
        </w:tc>
        <w:tc>
          <w:tcPr>
            <w:tcW w:w="1113"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数字化教育技术及课件制作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542" w:type="pct"/>
            <w:vAlign w:val="center"/>
          </w:tcPr>
          <w:p>
            <w:pPr>
              <w:widowControl/>
              <w:jc w:val="center"/>
              <w:rPr>
                <w:rFonts w:ascii="宋体" w:hAnsi="宋体" w:cs="宋体"/>
                <w:kern w:val="0"/>
                <w:szCs w:val="21"/>
              </w:rPr>
            </w:pPr>
            <w:r>
              <w:rPr>
                <w:rFonts w:hint="eastAsia" w:ascii="宋体" w:hAnsi="宋体" w:cs="宋体"/>
                <w:kern w:val="0"/>
                <w:szCs w:val="21"/>
              </w:rPr>
              <w:t>4</w:t>
            </w:r>
          </w:p>
        </w:tc>
        <w:tc>
          <w:tcPr>
            <w:tcW w:w="81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多媒体教室</w:t>
            </w:r>
          </w:p>
        </w:tc>
        <w:tc>
          <w:tcPr>
            <w:tcW w:w="42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高州</w:t>
            </w:r>
          </w:p>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师训楼</w:t>
            </w:r>
          </w:p>
        </w:tc>
        <w:tc>
          <w:tcPr>
            <w:tcW w:w="83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其他各专业课</w:t>
            </w:r>
          </w:p>
        </w:tc>
        <w:tc>
          <w:tcPr>
            <w:tcW w:w="126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计算机、实物投影仪等</w:t>
            </w:r>
          </w:p>
        </w:tc>
        <w:tc>
          <w:tcPr>
            <w:tcW w:w="1113"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辅助教学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542" w:type="pct"/>
            <w:vAlign w:val="center"/>
          </w:tcPr>
          <w:p>
            <w:pPr>
              <w:widowControl/>
              <w:jc w:val="center"/>
              <w:rPr>
                <w:rFonts w:ascii="宋体" w:hAnsi="宋体" w:cs="宋体"/>
                <w:kern w:val="0"/>
                <w:szCs w:val="21"/>
              </w:rPr>
            </w:pPr>
            <w:r>
              <w:rPr>
                <w:rFonts w:hint="eastAsia" w:ascii="宋体" w:hAnsi="宋体" w:cs="宋体"/>
                <w:kern w:val="0"/>
                <w:szCs w:val="21"/>
              </w:rPr>
              <w:t>5</w:t>
            </w:r>
          </w:p>
        </w:tc>
        <w:tc>
          <w:tcPr>
            <w:tcW w:w="814" w:type="pct"/>
            <w:vAlign w:val="center"/>
          </w:tcPr>
          <w:p>
            <w:pPr>
              <w:widowControl/>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多功能书法室</w:t>
            </w:r>
          </w:p>
        </w:tc>
        <w:tc>
          <w:tcPr>
            <w:tcW w:w="42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高州</w:t>
            </w:r>
          </w:p>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师训楼</w:t>
            </w:r>
          </w:p>
        </w:tc>
        <w:tc>
          <w:tcPr>
            <w:tcW w:w="838"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书写技能</w:t>
            </w:r>
          </w:p>
        </w:tc>
        <w:tc>
          <w:tcPr>
            <w:tcW w:w="1264"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计算机、实物投影仪等</w:t>
            </w:r>
          </w:p>
        </w:tc>
        <w:tc>
          <w:tcPr>
            <w:tcW w:w="1113" w:type="pct"/>
            <w:vAlign w:val="center"/>
          </w:tcPr>
          <w:p>
            <w:pPr>
              <w:widowControl/>
              <w:jc w:val="center"/>
              <w:rPr>
                <w:rFonts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书法训练与展示</w:t>
            </w:r>
          </w:p>
        </w:tc>
      </w:tr>
    </w:tbl>
    <w:p>
      <w:pPr>
        <w:spacing w:line="420" w:lineRule="exact"/>
        <w:ind w:left="420"/>
        <w:rPr>
          <w:rFonts w:ascii="宋体" w:hAnsi="宋体"/>
          <w:b/>
          <w:position w:val="6"/>
        </w:rPr>
      </w:pPr>
    </w:p>
    <w:p>
      <w:pPr>
        <w:spacing w:line="420" w:lineRule="exact"/>
        <w:ind w:left="420"/>
        <w:jc w:val="center"/>
        <w:rPr>
          <w:rFonts w:ascii="宋体" w:hAnsi="宋体"/>
          <w:b/>
          <w:position w:val="6"/>
        </w:rPr>
      </w:pPr>
      <w:r>
        <w:rPr>
          <w:rFonts w:hint="eastAsia" w:ascii="宋体" w:hAnsi="宋体"/>
          <w:b/>
          <w:position w:val="6"/>
        </w:rPr>
        <w:t>校外实训基地一览表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4296"/>
        <w:gridCol w:w="4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tabs>
                <w:tab w:val="left" w:pos="3339"/>
              </w:tabs>
              <w:spacing w:line="367" w:lineRule="exact"/>
              <w:jc w:val="center"/>
              <w:rPr>
                <w:rFonts w:eastAsia="仿宋_GB2312"/>
                <w:color w:val="000000"/>
                <w:kern w:val="0"/>
                <w:sz w:val="21"/>
                <w:szCs w:val="21"/>
              </w:rPr>
            </w:pPr>
            <w:r>
              <w:rPr>
                <w:rFonts w:eastAsia="仿宋_GB2312"/>
                <w:color w:val="000000"/>
                <w:kern w:val="0"/>
                <w:sz w:val="21"/>
                <w:szCs w:val="21"/>
              </w:rPr>
              <w:t>序号</w:t>
            </w:r>
          </w:p>
        </w:tc>
        <w:tc>
          <w:tcPr>
            <w:tcW w:w="2218" w:type="pct"/>
            <w:vAlign w:val="center"/>
          </w:tcPr>
          <w:p>
            <w:pPr>
              <w:tabs>
                <w:tab w:val="left" w:pos="3339"/>
              </w:tabs>
              <w:spacing w:line="367" w:lineRule="exact"/>
              <w:jc w:val="center"/>
              <w:rPr>
                <w:rFonts w:eastAsia="仿宋_GB2312"/>
                <w:color w:val="000000"/>
                <w:kern w:val="0"/>
                <w:sz w:val="21"/>
                <w:szCs w:val="21"/>
              </w:rPr>
            </w:pPr>
            <w:r>
              <w:rPr>
                <w:rFonts w:hint="eastAsia" w:ascii="宋体" w:hAnsi="宋体"/>
                <w:b/>
                <w:kern w:val="0"/>
                <w:sz w:val="20"/>
                <w:szCs w:val="21"/>
              </w:rPr>
              <w:t>名称/合作企业</w:t>
            </w:r>
          </w:p>
        </w:tc>
        <w:tc>
          <w:tcPr>
            <w:tcW w:w="2402" w:type="pct"/>
            <w:vAlign w:val="center"/>
          </w:tcPr>
          <w:p>
            <w:pPr>
              <w:tabs>
                <w:tab w:val="left" w:pos="3339"/>
              </w:tabs>
              <w:spacing w:line="367" w:lineRule="exact"/>
              <w:jc w:val="center"/>
              <w:rPr>
                <w:rFonts w:eastAsia="仿宋_GB2312"/>
                <w:color w:val="000000"/>
                <w:kern w:val="0"/>
                <w:sz w:val="21"/>
                <w:szCs w:val="21"/>
              </w:rPr>
            </w:pPr>
            <w:r>
              <w:rPr>
                <w:rFonts w:hint="eastAsia" w:ascii="宋体" w:hAnsi="宋体"/>
                <w:b/>
                <w:kern w:val="0"/>
                <w:sz w:val="20"/>
                <w:szCs w:val="21"/>
              </w:rPr>
              <w:t>主要实训内容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w:t>
            </w:r>
          </w:p>
        </w:tc>
        <w:tc>
          <w:tcPr>
            <w:tcW w:w="2218" w:type="pct"/>
            <w:vAlign w:val="center"/>
          </w:tcPr>
          <w:p>
            <w:pPr>
              <w:rPr>
                <w:rFonts w:eastAsia="仿宋_GB2312"/>
                <w:kern w:val="0"/>
                <w:sz w:val="21"/>
                <w:szCs w:val="21"/>
              </w:rPr>
            </w:pPr>
            <w:r>
              <w:rPr>
                <w:rFonts w:eastAsia="仿宋_GB2312"/>
                <w:kern w:val="0"/>
                <w:sz w:val="21"/>
                <w:szCs w:val="21"/>
              </w:rPr>
              <w:t>高州市第一小学</w:t>
            </w:r>
          </w:p>
        </w:tc>
        <w:tc>
          <w:tcPr>
            <w:tcW w:w="2402" w:type="pct"/>
            <w:vMerge w:val="restart"/>
            <w:vAlign w:val="center"/>
          </w:tcPr>
          <w:p>
            <w:pPr>
              <w:numPr>
                <w:ilvl w:val="0"/>
                <w:numId w:val="7"/>
              </w:numPr>
              <w:spacing w:line="370" w:lineRule="exact"/>
              <w:jc w:val="center"/>
              <w:rPr>
                <w:rFonts w:eastAsia="仿宋_GB2312"/>
                <w:kern w:val="0"/>
                <w:sz w:val="21"/>
                <w:szCs w:val="21"/>
              </w:rPr>
            </w:pPr>
            <w:r>
              <w:rPr>
                <w:rFonts w:eastAsia="仿宋_GB2312"/>
                <w:kern w:val="0"/>
                <w:sz w:val="21"/>
                <w:szCs w:val="21"/>
              </w:rPr>
              <w:t>通过实践，熟识小学各门课程内容，了解小学各门课程的教学方法了解小学课堂教学过程；</w:t>
            </w:r>
          </w:p>
          <w:p>
            <w:pPr>
              <w:numPr>
                <w:ilvl w:val="0"/>
                <w:numId w:val="7"/>
              </w:numPr>
              <w:spacing w:line="370" w:lineRule="exact"/>
              <w:jc w:val="center"/>
              <w:rPr>
                <w:rFonts w:eastAsia="仿宋_GB2312"/>
                <w:kern w:val="0"/>
                <w:sz w:val="21"/>
                <w:szCs w:val="21"/>
              </w:rPr>
            </w:pPr>
            <w:r>
              <w:rPr>
                <w:rFonts w:eastAsia="仿宋_GB2312"/>
                <w:kern w:val="0"/>
                <w:sz w:val="21"/>
                <w:szCs w:val="21"/>
              </w:rPr>
              <w:t>通过实践，体验小学课堂基本教学常规和小学班主任工作常规；</w:t>
            </w:r>
          </w:p>
          <w:p>
            <w:pPr>
              <w:spacing w:line="370" w:lineRule="exact"/>
              <w:jc w:val="center"/>
              <w:rPr>
                <w:rFonts w:eastAsia="仿宋_GB2312"/>
                <w:kern w:val="0"/>
                <w:sz w:val="21"/>
                <w:szCs w:val="21"/>
              </w:rPr>
            </w:pPr>
            <w:r>
              <w:rPr>
                <w:rFonts w:eastAsia="仿宋_GB2312"/>
                <w:kern w:val="0"/>
                <w:sz w:val="21"/>
                <w:szCs w:val="21"/>
              </w:rPr>
              <w:t>（3）通过实践，了解小学生的年龄特点和心理特征；</w:t>
            </w:r>
          </w:p>
          <w:p>
            <w:pPr>
              <w:spacing w:line="370" w:lineRule="exact"/>
              <w:jc w:val="center"/>
              <w:rPr>
                <w:rFonts w:eastAsia="仿宋_GB2312"/>
                <w:kern w:val="0"/>
                <w:sz w:val="21"/>
                <w:szCs w:val="21"/>
              </w:rPr>
            </w:pPr>
            <w:r>
              <w:rPr>
                <w:rFonts w:eastAsia="仿宋_GB2312"/>
                <w:kern w:val="0"/>
                <w:sz w:val="21"/>
                <w:szCs w:val="21"/>
              </w:rPr>
              <w:t>（4）通过实践，进一步学会分析教材，学会备课和上课；</w:t>
            </w:r>
          </w:p>
          <w:p>
            <w:pPr>
              <w:spacing w:line="370" w:lineRule="exact"/>
              <w:jc w:val="center"/>
              <w:rPr>
                <w:rFonts w:eastAsia="仿宋_GB2312"/>
                <w:kern w:val="0"/>
                <w:sz w:val="21"/>
                <w:szCs w:val="21"/>
              </w:rPr>
            </w:pPr>
            <w:r>
              <w:rPr>
                <w:rFonts w:eastAsia="仿宋_GB2312"/>
                <w:kern w:val="0"/>
                <w:sz w:val="21"/>
                <w:szCs w:val="21"/>
              </w:rPr>
              <w:t>（5）通过实践，培养学生进一牢固热爱少年儿童、热爱教育工作、立志献身中小学教育事业的专业思想。</w:t>
            </w:r>
          </w:p>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w:t>
            </w:r>
          </w:p>
        </w:tc>
        <w:tc>
          <w:tcPr>
            <w:tcW w:w="2218" w:type="pct"/>
            <w:vAlign w:val="center"/>
          </w:tcPr>
          <w:p>
            <w:pPr>
              <w:rPr>
                <w:rFonts w:eastAsia="仿宋_GB2312"/>
                <w:kern w:val="0"/>
                <w:sz w:val="21"/>
                <w:szCs w:val="21"/>
              </w:rPr>
            </w:pPr>
            <w:r>
              <w:rPr>
                <w:rFonts w:eastAsia="仿宋_GB2312"/>
                <w:kern w:val="0"/>
                <w:sz w:val="21"/>
                <w:szCs w:val="21"/>
              </w:rPr>
              <w:t>信宜市第一小学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3</w:t>
            </w:r>
          </w:p>
        </w:tc>
        <w:tc>
          <w:tcPr>
            <w:tcW w:w="2218" w:type="pct"/>
            <w:vAlign w:val="center"/>
          </w:tcPr>
          <w:p>
            <w:pPr>
              <w:rPr>
                <w:rFonts w:eastAsia="仿宋_GB2312"/>
                <w:kern w:val="0"/>
                <w:sz w:val="21"/>
                <w:szCs w:val="21"/>
              </w:rPr>
            </w:pPr>
            <w:r>
              <w:rPr>
                <w:rFonts w:eastAsia="仿宋_GB2312"/>
                <w:kern w:val="0"/>
                <w:sz w:val="21"/>
                <w:szCs w:val="21"/>
              </w:rPr>
              <w:t>电白县第一小学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4</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高州市大井中心小学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5</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高州市谢鸡中心小学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6</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高州市新垌中心小学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7</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高州市石鼓中心小学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8</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高州市石鼓镇小学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9</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高州市长坡中心小学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10</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高州市西岸中心小学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11</w:t>
            </w:r>
          </w:p>
        </w:tc>
        <w:tc>
          <w:tcPr>
            <w:tcW w:w="2218" w:type="pct"/>
            <w:vAlign w:val="center"/>
          </w:tcPr>
          <w:p>
            <w:pPr>
              <w:spacing w:line="300" w:lineRule="auto"/>
              <w:rPr>
                <w:rFonts w:eastAsia="仿宋_GB2312"/>
                <w:kern w:val="0"/>
                <w:sz w:val="21"/>
                <w:szCs w:val="21"/>
              </w:rPr>
            </w:pPr>
            <w:r>
              <w:rPr>
                <w:rFonts w:eastAsia="仿宋_GB2312"/>
                <w:kern w:val="0"/>
                <w:sz w:val="21"/>
                <w:szCs w:val="21"/>
              </w:rPr>
              <w:t>高师附属第一小学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12</w:t>
            </w:r>
          </w:p>
        </w:tc>
        <w:tc>
          <w:tcPr>
            <w:tcW w:w="2218" w:type="pct"/>
            <w:vAlign w:val="center"/>
          </w:tcPr>
          <w:p>
            <w:pPr>
              <w:spacing w:line="300" w:lineRule="auto"/>
              <w:rPr>
                <w:rFonts w:eastAsia="仿宋_GB2312"/>
                <w:kern w:val="0"/>
                <w:sz w:val="21"/>
                <w:szCs w:val="21"/>
              </w:rPr>
            </w:pPr>
            <w:r>
              <w:rPr>
                <w:rFonts w:eastAsia="仿宋_GB2312"/>
                <w:kern w:val="0"/>
                <w:sz w:val="21"/>
                <w:szCs w:val="21"/>
              </w:rPr>
              <w:t>高师附属第二小学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13</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高州师范金阳学校</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14</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高州市大井中学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15</w:t>
            </w:r>
          </w:p>
        </w:tc>
        <w:tc>
          <w:tcPr>
            <w:tcW w:w="2218" w:type="pct"/>
            <w:vAlign w:val="center"/>
          </w:tcPr>
          <w:p>
            <w:pPr>
              <w:spacing w:line="300" w:lineRule="auto"/>
              <w:rPr>
                <w:rFonts w:eastAsia="仿宋_GB2312"/>
                <w:kern w:val="0"/>
                <w:sz w:val="21"/>
                <w:szCs w:val="21"/>
              </w:rPr>
            </w:pPr>
            <w:r>
              <w:rPr>
                <w:rFonts w:eastAsia="仿宋_GB2312"/>
                <w:kern w:val="0"/>
                <w:sz w:val="21"/>
                <w:szCs w:val="21"/>
              </w:rPr>
              <w:t>高州市第八中学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16</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信宜市实验学校</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17</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信宜市第七小学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18</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信宜市第九小学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19</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信宜市第十小学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20</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信宜市白石中心小学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21</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信宜市怀乡中心小学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22</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信宜市高坡中心小学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23</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信宜市第三小学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24</w:t>
            </w:r>
          </w:p>
        </w:tc>
        <w:tc>
          <w:tcPr>
            <w:tcW w:w="2218" w:type="pct"/>
            <w:vAlign w:val="center"/>
          </w:tcPr>
          <w:p>
            <w:pPr>
              <w:spacing w:line="300" w:lineRule="auto"/>
              <w:rPr>
                <w:rFonts w:eastAsia="仿宋_GB2312"/>
                <w:kern w:val="0"/>
                <w:sz w:val="21"/>
                <w:szCs w:val="21"/>
              </w:rPr>
            </w:pPr>
            <w:r>
              <w:rPr>
                <w:rFonts w:eastAsia="仿宋_GB2312"/>
                <w:kern w:val="0"/>
                <w:sz w:val="21"/>
                <w:szCs w:val="21"/>
              </w:rPr>
              <w:t>信宜市三中</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25</w:t>
            </w:r>
          </w:p>
        </w:tc>
        <w:tc>
          <w:tcPr>
            <w:tcW w:w="2218" w:type="pct"/>
            <w:vAlign w:val="center"/>
          </w:tcPr>
          <w:p>
            <w:pPr>
              <w:spacing w:line="300" w:lineRule="auto"/>
              <w:rPr>
                <w:rFonts w:eastAsia="仿宋_GB2312"/>
                <w:kern w:val="0"/>
                <w:sz w:val="21"/>
                <w:szCs w:val="21"/>
              </w:rPr>
            </w:pPr>
            <w:r>
              <w:rPr>
                <w:rFonts w:eastAsia="仿宋_GB2312"/>
                <w:kern w:val="0"/>
                <w:sz w:val="21"/>
                <w:szCs w:val="21"/>
              </w:rPr>
              <w:t>化州市第一小学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jc w:val="center"/>
              <w:rPr>
                <w:rFonts w:eastAsia="仿宋_GB2312"/>
                <w:kern w:val="0"/>
                <w:sz w:val="21"/>
                <w:szCs w:val="21"/>
              </w:rPr>
            </w:pPr>
            <w:r>
              <w:rPr>
                <w:rFonts w:eastAsia="仿宋_GB2312"/>
                <w:kern w:val="0"/>
                <w:sz w:val="21"/>
                <w:szCs w:val="21"/>
              </w:rPr>
              <w:t>26</w:t>
            </w:r>
          </w:p>
        </w:tc>
        <w:tc>
          <w:tcPr>
            <w:tcW w:w="2218" w:type="pct"/>
            <w:vAlign w:val="center"/>
          </w:tcPr>
          <w:p>
            <w:pPr>
              <w:spacing w:line="300" w:lineRule="auto"/>
              <w:rPr>
                <w:rFonts w:eastAsia="仿宋_GB2312"/>
                <w:kern w:val="0"/>
                <w:sz w:val="21"/>
                <w:szCs w:val="21"/>
              </w:rPr>
            </w:pPr>
            <w:r>
              <w:rPr>
                <w:rFonts w:eastAsia="仿宋_GB2312"/>
                <w:kern w:val="0"/>
                <w:sz w:val="21"/>
                <w:szCs w:val="21"/>
              </w:rPr>
              <w:t>化州市第三小学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tabs>
                <w:tab w:val="left" w:pos="3339"/>
              </w:tabs>
              <w:spacing w:line="367" w:lineRule="exact"/>
              <w:jc w:val="center"/>
              <w:rPr>
                <w:rFonts w:eastAsia="仿宋_GB2312"/>
                <w:color w:val="000000"/>
                <w:kern w:val="0"/>
                <w:sz w:val="21"/>
                <w:szCs w:val="21"/>
              </w:rPr>
            </w:pPr>
            <w:r>
              <w:rPr>
                <w:rFonts w:eastAsia="仿宋_GB2312"/>
                <w:color w:val="000000"/>
                <w:kern w:val="0"/>
                <w:sz w:val="21"/>
                <w:szCs w:val="21"/>
              </w:rPr>
              <w:t>27</w:t>
            </w:r>
          </w:p>
        </w:tc>
        <w:tc>
          <w:tcPr>
            <w:tcW w:w="2218" w:type="pct"/>
            <w:vAlign w:val="center"/>
          </w:tcPr>
          <w:p>
            <w:pPr>
              <w:spacing w:line="300" w:lineRule="auto"/>
              <w:rPr>
                <w:rFonts w:eastAsia="仿宋_GB2312"/>
                <w:kern w:val="0"/>
                <w:sz w:val="21"/>
                <w:szCs w:val="21"/>
              </w:rPr>
            </w:pPr>
            <w:r>
              <w:rPr>
                <w:rFonts w:eastAsia="仿宋_GB2312"/>
                <w:kern w:val="0"/>
                <w:sz w:val="21"/>
                <w:szCs w:val="21"/>
              </w:rPr>
              <w:t>化州市那务中心小学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tabs>
                <w:tab w:val="left" w:pos="3339"/>
              </w:tabs>
              <w:spacing w:line="367" w:lineRule="exact"/>
              <w:jc w:val="center"/>
              <w:rPr>
                <w:rFonts w:eastAsia="仿宋_GB2312"/>
                <w:color w:val="000000"/>
                <w:kern w:val="0"/>
                <w:sz w:val="21"/>
                <w:szCs w:val="21"/>
              </w:rPr>
            </w:pPr>
            <w:r>
              <w:rPr>
                <w:rFonts w:eastAsia="仿宋_GB2312"/>
                <w:color w:val="000000"/>
                <w:kern w:val="0"/>
                <w:sz w:val="21"/>
                <w:szCs w:val="21"/>
              </w:rPr>
              <w:t>28</w:t>
            </w:r>
          </w:p>
        </w:tc>
        <w:tc>
          <w:tcPr>
            <w:tcW w:w="2218" w:type="pct"/>
            <w:vAlign w:val="center"/>
          </w:tcPr>
          <w:p>
            <w:pPr>
              <w:spacing w:line="300" w:lineRule="auto"/>
              <w:rPr>
                <w:rFonts w:eastAsia="仿宋_GB2312"/>
                <w:kern w:val="0"/>
                <w:sz w:val="21"/>
                <w:szCs w:val="21"/>
              </w:rPr>
            </w:pPr>
            <w:r>
              <w:rPr>
                <w:rFonts w:eastAsia="仿宋_GB2312"/>
                <w:kern w:val="0"/>
                <w:sz w:val="21"/>
                <w:szCs w:val="21"/>
              </w:rPr>
              <w:t>化州市南盛中心小学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tabs>
                <w:tab w:val="left" w:pos="3339"/>
              </w:tabs>
              <w:spacing w:line="367" w:lineRule="exact"/>
              <w:jc w:val="center"/>
              <w:rPr>
                <w:rFonts w:eastAsia="仿宋_GB2312"/>
                <w:color w:val="000000"/>
                <w:kern w:val="0"/>
                <w:sz w:val="21"/>
                <w:szCs w:val="21"/>
              </w:rPr>
            </w:pPr>
            <w:r>
              <w:rPr>
                <w:rFonts w:eastAsia="仿宋_GB2312"/>
                <w:color w:val="000000"/>
                <w:kern w:val="0"/>
                <w:sz w:val="21"/>
                <w:szCs w:val="21"/>
              </w:rPr>
              <w:t>29</w:t>
            </w:r>
          </w:p>
        </w:tc>
        <w:tc>
          <w:tcPr>
            <w:tcW w:w="2218" w:type="pct"/>
            <w:vAlign w:val="center"/>
          </w:tcPr>
          <w:p>
            <w:pPr>
              <w:spacing w:line="300" w:lineRule="auto"/>
              <w:rPr>
                <w:rFonts w:eastAsia="仿宋_GB2312"/>
                <w:kern w:val="0"/>
                <w:sz w:val="21"/>
                <w:szCs w:val="21"/>
              </w:rPr>
            </w:pPr>
            <w:r>
              <w:rPr>
                <w:rFonts w:eastAsia="仿宋_GB2312"/>
                <w:kern w:val="0"/>
                <w:sz w:val="21"/>
                <w:szCs w:val="21"/>
              </w:rPr>
              <w:t>化州市官桥中心小学</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tabs>
                <w:tab w:val="left" w:pos="3339"/>
              </w:tabs>
              <w:spacing w:line="367" w:lineRule="exact"/>
              <w:jc w:val="center"/>
              <w:rPr>
                <w:rFonts w:eastAsia="仿宋_GB2312"/>
                <w:color w:val="000000"/>
                <w:kern w:val="0"/>
                <w:sz w:val="21"/>
                <w:szCs w:val="21"/>
              </w:rPr>
            </w:pPr>
            <w:r>
              <w:rPr>
                <w:rFonts w:eastAsia="仿宋_GB2312"/>
                <w:color w:val="000000"/>
                <w:kern w:val="0"/>
                <w:sz w:val="21"/>
                <w:szCs w:val="21"/>
              </w:rPr>
              <w:t>30</w:t>
            </w:r>
          </w:p>
        </w:tc>
        <w:tc>
          <w:tcPr>
            <w:tcW w:w="2218" w:type="pct"/>
            <w:vAlign w:val="center"/>
          </w:tcPr>
          <w:p>
            <w:pPr>
              <w:rPr>
                <w:rFonts w:eastAsia="仿宋_GB2312"/>
                <w:kern w:val="0"/>
                <w:sz w:val="21"/>
                <w:szCs w:val="21"/>
              </w:rPr>
            </w:pPr>
            <w:r>
              <w:rPr>
                <w:rFonts w:eastAsia="仿宋_GB2312"/>
                <w:kern w:val="0"/>
                <w:sz w:val="21"/>
                <w:szCs w:val="21"/>
              </w:rPr>
              <w:t>茂名市新世纪学校</w:t>
            </w:r>
          </w:p>
        </w:tc>
        <w:tc>
          <w:tcPr>
            <w:tcW w:w="2402" w:type="pct"/>
            <w:vMerge w:val="continue"/>
            <w:vAlign w:val="center"/>
          </w:tcPr>
          <w:p>
            <w:pPr>
              <w:tabs>
                <w:tab w:val="left" w:pos="3339"/>
              </w:tabs>
              <w:spacing w:line="367" w:lineRule="exact"/>
              <w:jc w:val="center"/>
              <w:rPr>
                <w:rFonts w:eastAsia="仿宋_GB2312"/>
                <w:color w:val="FF0000"/>
                <w:kern w:val="0"/>
                <w:sz w:val="21"/>
                <w:szCs w:val="21"/>
              </w:rPr>
            </w:pPr>
          </w:p>
        </w:tc>
      </w:tr>
    </w:tbl>
    <w:p>
      <w:pPr>
        <w:spacing w:line="360" w:lineRule="auto"/>
        <w:ind w:firstLine="422" w:firstLineChars="200"/>
        <w:outlineLvl w:val="0"/>
        <w:rPr>
          <w:rStyle w:val="8"/>
          <w:rFonts w:ascii="宋体" w:hAnsi="宋体"/>
          <w:szCs w:val="21"/>
        </w:rPr>
      </w:pPr>
    </w:p>
    <w:p>
      <w:pPr>
        <w:spacing w:line="360" w:lineRule="auto"/>
        <w:ind w:firstLine="422" w:firstLineChars="200"/>
        <w:outlineLvl w:val="0"/>
        <w:rPr>
          <w:rStyle w:val="8"/>
          <w:rFonts w:ascii="宋体" w:hAnsi="宋体"/>
          <w:szCs w:val="21"/>
        </w:rPr>
      </w:pPr>
      <w:r>
        <w:rPr>
          <w:rStyle w:val="8"/>
          <w:rFonts w:hint="eastAsia" w:ascii="宋体" w:hAnsi="宋体"/>
          <w:szCs w:val="21"/>
        </w:rPr>
        <w:t>（三）教学资源</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1.教材选用基本要求</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 xml:space="preserve">选用教材严格执行中央宣传部、国家教育部和省教育厅关于教材编写、出版、选用、认定的有关文件规定，遵循关于《职业院校教材管理办法》和《普通高等学校教材管理办法》等文件精神。学校应制定《教材征订管理办法》《教材适应性评价管理办法》等指导性文件，每 3 年修订 1 次教材。鼓励优先选用国家级规划教材，并要求其教材内容、编排等具有较强的思想性、科学性、适用性和实时性，其中，国家级规划教材使用情况应达到 </w:t>
      </w:r>
      <w:r>
        <w:rPr>
          <w:rFonts w:ascii="宋体" w:hAnsi="宋体"/>
          <w:bCs/>
          <w:color w:val="000000" w:themeColor="text1"/>
          <w14:textFill>
            <w14:solidFill>
              <w14:schemeClr w14:val="tx1"/>
            </w14:solidFill>
          </w14:textFill>
        </w:rPr>
        <w:t>95</w:t>
      </w:r>
      <w:r>
        <w:rPr>
          <w:rFonts w:hint="eastAsia" w:ascii="宋体" w:hAnsi="宋体"/>
          <w:bCs/>
          <w:color w:val="000000" w:themeColor="text1"/>
          <w14:textFill>
            <w14:solidFill>
              <w14:schemeClr w14:val="tx1"/>
            </w14:solidFill>
          </w14:textFill>
        </w:rPr>
        <w:t>%。</w:t>
      </w:r>
    </w:p>
    <w:p>
      <w:p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2.图书文献配备基本要求</w:t>
      </w:r>
    </w:p>
    <w:p>
      <w:pPr>
        <w:spacing w:line="360" w:lineRule="auto"/>
        <w:ind w:firstLine="420" w:firstLineChars="200"/>
        <w:outlineLvl w:val="0"/>
        <w:rPr>
          <w:rStyle w:val="8"/>
          <w:rFonts w:ascii="宋体" w:hAnsi="宋体"/>
          <w:b w:val="0"/>
          <w:bCs w:val="0"/>
          <w:szCs w:val="21"/>
        </w:rPr>
      </w:pPr>
      <w:r>
        <w:rPr>
          <w:rStyle w:val="8"/>
          <w:rFonts w:hint="eastAsia" w:ascii="宋体" w:hAnsi="宋体"/>
          <w:b w:val="0"/>
          <w:bCs w:val="0"/>
          <w:szCs w:val="21"/>
        </w:rPr>
        <w:t>本专业相关图书文献配备，应能满足数学教育人才培养、专业建设、教科研等工作需要，方便师生查询、借阅，且定期更新。专业类图书文献主要包括：数学教育行业政策法规资料、中小学教师专业标准，有关数学教育的课程标准、教学与技能训练方法、教学与技能训练操作规范，以及教学与技能训练实例类图书等。学校已建有图书馆和电子阅览室，学校图书馆馆藏纸介</w:t>
      </w:r>
      <w:r>
        <w:rPr>
          <w:rStyle w:val="8"/>
          <w:rFonts w:hint="eastAsia" w:ascii="宋体" w:hAnsi="宋体"/>
          <w:b w:val="0"/>
          <w:bCs w:val="0"/>
          <w:color w:val="000000" w:themeColor="text1"/>
          <w:szCs w:val="21"/>
          <w14:textFill>
            <w14:solidFill>
              <w14:schemeClr w14:val="tx1"/>
            </w14:solidFill>
          </w14:textFill>
        </w:rPr>
        <w:t>质图书</w:t>
      </w:r>
      <w:r>
        <w:rPr>
          <w:rStyle w:val="8"/>
          <w:rFonts w:ascii="宋体" w:hAnsi="宋体"/>
          <w:b w:val="0"/>
          <w:bCs w:val="0"/>
          <w:color w:val="000000" w:themeColor="text1"/>
          <w:szCs w:val="21"/>
          <w14:textFill>
            <w14:solidFill>
              <w14:schemeClr w14:val="tx1"/>
            </w14:solidFill>
          </w14:textFill>
        </w:rPr>
        <w:t>20</w:t>
      </w:r>
      <w:r>
        <w:rPr>
          <w:rStyle w:val="8"/>
          <w:rFonts w:hint="eastAsia" w:ascii="宋体" w:hAnsi="宋体"/>
          <w:b w:val="0"/>
          <w:bCs w:val="0"/>
          <w:color w:val="000000" w:themeColor="text1"/>
          <w:szCs w:val="21"/>
          <w14:textFill>
            <w14:solidFill>
              <w14:schemeClr w14:val="tx1"/>
            </w14:solidFill>
          </w14:textFill>
        </w:rPr>
        <w:t xml:space="preserve"> 万册，电子图书</w:t>
      </w:r>
      <w:r>
        <w:rPr>
          <w:rStyle w:val="8"/>
          <w:rFonts w:ascii="宋体" w:hAnsi="宋体"/>
          <w:b w:val="0"/>
          <w:bCs w:val="0"/>
          <w:color w:val="000000" w:themeColor="text1"/>
          <w:szCs w:val="21"/>
          <w14:textFill>
            <w14:solidFill>
              <w14:schemeClr w14:val="tx1"/>
            </w14:solidFill>
          </w14:textFill>
        </w:rPr>
        <w:t>3</w:t>
      </w:r>
      <w:r>
        <w:rPr>
          <w:rStyle w:val="8"/>
          <w:rFonts w:hint="eastAsia" w:ascii="宋体" w:hAnsi="宋体"/>
          <w:b w:val="0"/>
          <w:bCs w:val="0"/>
          <w:color w:val="000000" w:themeColor="text1"/>
          <w:szCs w:val="21"/>
          <w14:textFill>
            <w14:solidFill>
              <w14:schemeClr w14:val="tx1"/>
            </w14:solidFill>
          </w14:textFill>
        </w:rPr>
        <w:t>万册，到 2023 年馆藏纸介质图书达到</w:t>
      </w:r>
      <w:r>
        <w:rPr>
          <w:rStyle w:val="8"/>
          <w:rFonts w:ascii="宋体" w:hAnsi="宋体"/>
          <w:b w:val="0"/>
          <w:bCs w:val="0"/>
          <w:color w:val="000000" w:themeColor="text1"/>
          <w:szCs w:val="21"/>
          <w14:textFill>
            <w14:solidFill>
              <w14:schemeClr w14:val="tx1"/>
            </w14:solidFill>
          </w14:textFill>
        </w:rPr>
        <w:t>10</w:t>
      </w:r>
      <w:r>
        <w:rPr>
          <w:rStyle w:val="8"/>
          <w:rFonts w:hint="eastAsia" w:ascii="宋体" w:hAnsi="宋体"/>
          <w:b w:val="0"/>
          <w:bCs w:val="0"/>
          <w:color w:val="000000" w:themeColor="text1"/>
          <w:szCs w:val="21"/>
          <w14:textFill>
            <w14:solidFill>
              <w14:schemeClr w14:val="tx1"/>
            </w14:solidFill>
          </w14:textFill>
        </w:rPr>
        <w:t xml:space="preserve">万册，电子图书达到 </w:t>
      </w:r>
      <w:r>
        <w:rPr>
          <w:rStyle w:val="8"/>
          <w:rFonts w:ascii="宋体" w:hAnsi="宋体"/>
          <w:b w:val="0"/>
          <w:bCs w:val="0"/>
          <w:color w:val="000000" w:themeColor="text1"/>
          <w:szCs w:val="21"/>
          <w14:textFill>
            <w14:solidFill>
              <w14:schemeClr w14:val="tx1"/>
            </w14:solidFill>
          </w14:textFill>
        </w:rPr>
        <w:t>5</w:t>
      </w:r>
      <w:r>
        <w:rPr>
          <w:rStyle w:val="8"/>
          <w:rFonts w:hint="eastAsia" w:ascii="宋体" w:hAnsi="宋体"/>
          <w:b w:val="0"/>
          <w:bCs w:val="0"/>
          <w:color w:val="000000" w:themeColor="text1"/>
          <w:szCs w:val="21"/>
          <w14:textFill>
            <w14:solidFill>
              <w14:schemeClr w14:val="tx1"/>
            </w14:solidFill>
          </w14:textFill>
        </w:rPr>
        <w:t>万册。并设教材专区、</w:t>
      </w:r>
      <w:r>
        <w:rPr>
          <w:rStyle w:val="8"/>
          <w:rFonts w:hint="eastAsia" w:ascii="宋体" w:hAnsi="宋体"/>
          <w:b w:val="0"/>
          <w:bCs w:val="0"/>
          <w:szCs w:val="21"/>
        </w:rPr>
        <w:t>绘本专区等特色专区，教材、图书和数字资源能满足学生专业学习、教师专业教学研究、教学实施和社会服务需要。</w:t>
      </w:r>
    </w:p>
    <w:p>
      <w:pPr>
        <w:adjustRightInd w:val="0"/>
        <w:snapToGrid w:val="0"/>
        <w:spacing w:line="360" w:lineRule="auto"/>
        <w:ind w:firstLine="525" w:firstLineChars="250"/>
        <w:rPr>
          <w:rFonts w:ascii="宋体" w:hAnsi="宋体"/>
          <w:szCs w:val="21"/>
        </w:rPr>
      </w:pPr>
      <w:r>
        <w:rPr>
          <w:rFonts w:hint="eastAsia" w:ascii="宋体" w:hAnsi="宋体"/>
          <w:szCs w:val="21"/>
        </w:rPr>
        <w:t>3.数字教学资源配置基本要求</w:t>
      </w:r>
    </w:p>
    <w:p>
      <w:pPr>
        <w:adjustRightInd w:val="0"/>
        <w:snapToGrid w:val="0"/>
        <w:spacing w:line="360" w:lineRule="auto"/>
        <w:ind w:firstLine="525" w:firstLineChars="250"/>
        <w:rPr>
          <w:rFonts w:ascii="宋体" w:hAnsi="宋体"/>
          <w:szCs w:val="21"/>
        </w:rPr>
      </w:pPr>
      <w:r>
        <w:rPr>
          <w:rFonts w:hint="eastAsia" w:ascii="宋体" w:hAnsi="宋体"/>
          <w:szCs w:val="21"/>
        </w:rPr>
        <w:t>高职学校应建设、配备与小学数学教育专业有关的音视频素材、教学课件、数字化教学案例库、数字教材等专业教学资源库，逐步建设一批与小学数学教育专业相关的精品在线课程。另外还需根据实际需要建立数字化教学资源库，包括小学数学课堂活动、小学数学教育教学优秀案例库、小学数学教育活动及相关的技能竞赛等视频资源；小学数学教育专业文献、活动方案等文献资源，以满足学生个性化学习需求，提高学习效果。数字教学资源应种类丰富、形式多样、使用便捷、动态更新、满足教学。高职学校应建立虚拟的教育环境，借助计算机和网络技术对教学、科研、管理、技术服务、生活服务等信息进行收集、处理、整合、存储、传输和应用，使数字化的职业教学资源得到充分开发。学校应订购中国知网数据库等，方便学生查阅文献资料。学校应配置一定数量的电子图书，建立专门的电子阅览室并与相关企业单位签订协议共享数字教学资源。数字教学资源库应不断扩充和完善。</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一）健全人才培养工作机制，形成稳定的组织机构和专业建设团队，形成人才培养质量保障体系。完善教育教学过程中的监测、评价与反馈机制。通过专业知识展示、行业调研、用人单位（就业机构）评价等对人才培养质量进行评估，充分发挥学校、行业企业、家长等多评价主体的作用，形成多元监督机制。</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（二）完善教学管理机制，教学文件管理制度化、教学监管常态化，建立健全巡课、听课、评教、评学等制度，建立以教学督导为主、学生评教为辅的教学评价监督机制。</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三）建立教师—学生双向课堂教学效果反馈系统。每学期期中，教学科室组织学生填写《课堂教学效果反馈表》，对所有上课教师的教学效果进行反馈。同时，教师每学期应至少填写一次《课堂教学信息卡》，将课堂教学过程中出现的问题（如学生的学习效果、学习风气，教学条件、教学设备的使用情况等）反馈给学院领导。为提高本专业教学质量和教学效率，教研室在学期初要制定本学期本专业教师的教学和科研计划，组织教师进行听评课活动；制定相应政策鼓励教师发表与教学内容、高职教育改革密切相关的高质量、高水平学术论文，以此促进专业成长；在每学期初、期中、期末教学检查时，检查人员应填写相应的评估表和反馈表，对所有任课教师的教学效果和质量进行评价，评价结果经审核后，存入教师教学工作档案，作为教师晋职、评优的重要依据。每月，理学院对教学方面存在的问题和建议采取简报形式报道，以便随时总结经验，提高教学质量。</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（四）建立毕业生跟踪反馈机制及社会评价机制，并对生源情况、在校生学业水平、毕业生就业情况等进行分析，定期评价人才培养质量和培养目标达成情况。</w:t>
      </w:r>
    </w:p>
    <w:p>
      <w:pPr>
        <w:spacing w:line="400" w:lineRule="exact"/>
        <w:ind w:firstLine="421"/>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（五）完善专业教学工作诊断与改进制度，健全专业教学质量监控和评价机制，形成常态化的内部质量保证体系和运行机制，及时开展专业调研、人才培养方案更新。</w:t>
      </w:r>
    </w:p>
    <w:p>
      <w:pPr>
        <w:spacing w:line="360" w:lineRule="auto"/>
        <w:ind w:firstLine="417" w:firstLineChars="198"/>
        <w:rPr>
          <w:rFonts w:ascii="宋体" w:hAnsi="宋体"/>
          <w:b/>
          <w:szCs w:val="21"/>
        </w:rPr>
      </w:pPr>
      <w:r>
        <w:rPr>
          <w:rFonts w:hint="eastAsia" w:ascii="宋体" w:hAnsi="宋体"/>
          <w:b/>
          <w:szCs w:val="21"/>
          <w:lang w:val="en-US" w:eastAsia="zh-CN"/>
        </w:rPr>
        <w:t>十</w:t>
      </w:r>
      <w:r>
        <w:rPr>
          <w:rFonts w:hint="eastAsia" w:ascii="宋体" w:hAnsi="宋体"/>
          <w:b/>
          <w:szCs w:val="21"/>
        </w:rPr>
        <w:t>、毕业要求</w:t>
      </w:r>
    </w:p>
    <w:p>
      <w:pPr>
        <w:spacing w:line="360" w:lineRule="auto"/>
        <w:ind w:firstLine="521" w:firstLineChars="247"/>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（1）毕业总学分不得低于</w:t>
      </w:r>
      <w:r>
        <w:rPr>
          <w:rFonts w:ascii="宋体" w:hAnsi="宋体"/>
          <w:color w:val="000000" w:themeColor="text1"/>
          <w:szCs w:val="21"/>
          <w14:textFill>
            <w14:solidFill>
              <w14:schemeClr w14:val="tx1"/>
            </w14:solidFill>
          </w14:textFill>
        </w:rPr>
        <w:t>140</w:t>
      </w:r>
      <w:r>
        <w:rPr>
          <w:rFonts w:hint="eastAsia" w:ascii="宋体" w:hAnsi="宋体"/>
          <w:color w:val="000000" w:themeColor="text1"/>
          <w:szCs w:val="21"/>
          <w14:textFill>
            <w14:solidFill>
              <w14:schemeClr w14:val="tx1"/>
            </w14:solidFill>
          </w14:textFill>
        </w:rPr>
        <w:t>学分，必修学分</w:t>
      </w:r>
      <w:r>
        <w:rPr>
          <w:rFonts w:ascii="宋体" w:hAnsi="宋体"/>
          <w:color w:val="000000" w:themeColor="text1"/>
          <w:szCs w:val="21"/>
          <w14:textFill>
            <w14:solidFill>
              <w14:schemeClr w14:val="tx1"/>
            </w14:solidFill>
          </w14:textFill>
        </w:rPr>
        <w:t>100</w:t>
      </w:r>
      <w:r>
        <w:rPr>
          <w:rFonts w:hint="eastAsia" w:ascii="宋体" w:hAnsi="宋体"/>
          <w:color w:val="000000" w:themeColor="text1"/>
          <w:szCs w:val="21"/>
          <w14:textFill>
            <w14:solidFill>
              <w14:schemeClr w14:val="tx1"/>
            </w14:solidFill>
          </w14:textFill>
        </w:rPr>
        <w:t>学分，选修学分不低于</w:t>
      </w:r>
      <w:r>
        <w:rPr>
          <w:rFonts w:ascii="宋体" w:hAnsi="宋体"/>
          <w:color w:val="000000" w:themeColor="text1"/>
          <w:szCs w:val="21"/>
          <w14:textFill>
            <w14:solidFill>
              <w14:schemeClr w14:val="tx1"/>
            </w14:solidFill>
          </w14:textFill>
        </w:rPr>
        <w:t>36</w:t>
      </w:r>
      <w:r>
        <w:rPr>
          <w:rFonts w:hint="eastAsia" w:ascii="宋体" w:hAnsi="宋体"/>
          <w:color w:val="000000" w:themeColor="text1"/>
          <w:szCs w:val="21"/>
          <w14:textFill>
            <w14:solidFill>
              <w14:schemeClr w14:val="tx1"/>
            </w14:solidFill>
          </w14:textFill>
        </w:rPr>
        <w:t>学分。</w:t>
      </w:r>
    </w:p>
    <w:p>
      <w:pPr>
        <w:spacing w:line="360" w:lineRule="auto"/>
        <w:ind w:firstLine="415" w:firstLineChars="198"/>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项目替代学分。学生取得超出培养方案规定以外的证书及其他课外学分，可用来替代某些课程的学分。替代原则：比赛获奖、考证、参加项目开发等根据专业认定只能替换专业非核心岗位课程学分。替代学分要大于或等于被替代学分，原则上被替代课程与替代学分有较高关联度。替换总学分不得超过15学分。本专业学生可通过参加竞赛、科技活动、社会实践等获取课外学分。课外学分获取来源及分值设定如下表所示。</w:t>
      </w:r>
    </w:p>
    <w:p>
      <w:pPr>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专业课外学分分值设定表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1"/>
        <w:gridCol w:w="1949"/>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40" w:type="dxa"/>
            <w:gridSpan w:val="2"/>
          </w:tcPr>
          <w:p>
            <w:pPr>
              <w:spacing w:line="360" w:lineRule="auto"/>
              <w:jc w:val="center"/>
              <w:rPr>
                <w:rFonts w:ascii="宋体" w:hAnsi="宋体"/>
                <w:b/>
                <w:sz w:val="18"/>
                <w:szCs w:val="18"/>
              </w:rPr>
            </w:pPr>
            <w:r>
              <w:rPr>
                <w:rFonts w:hint="eastAsia" w:ascii="宋体" w:hAnsi="宋体"/>
                <w:b/>
                <w:sz w:val="18"/>
                <w:szCs w:val="18"/>
              </w:rPr>
              <w:t>类别</w:t>
            </w:r>
          </w:p>
        </w:tc>
        <w:tc>
          <w:tcPr>
            <w:tcW w:w="6258" w:type="dxa"/>
          </w:tcPr>
          <w:p>
            <w:pPr>
              <w:spacing w:line="360" w:lineRule="auto"/>
              <w:jc w:val="center"/>
              <w:rPr>
                <w:rFonts w:ascii="宋体" w:hAnsi="宋体"/>
                <w:b/>
                <w:sz w:val="18"/>
                <w:szCs w:val="18"/>
              </w:rPr>
            </w:pPr>
            <w:r>
              <w:rPr>
                <w:rFonts w:hint="eastAsia" w:ascii="宋体" w:hAnsi="宋体"/>
                <w:b/>
                <w:sz w:val="18"/>
                <w:szCs w:val="18"/>
              </w:rPr>
              <w:t>对应学分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restart"/>
            <w:vAlign w:val="center"/>
          </w:tcPr>
          <w:p>
            <w:pPr>
              <w:jc w:val="center"/>
              <w:rPr>
                <w:rFonts w:ascii="宋体" w:hAnsi="宋体"/>
                <w:sz w:val="18"/>
                <w:szCs w:val="18"/>
              </w:rPr>
            </w:pPr>
            <w:r>
              <w:rPr>
                <w:rFonts w:hint="eastAsia" w:ascii="宋体" w:hAnsi="宋体"/>
                <w:sz w:val="18"/>
                <w:szCs w:val="18"/>
              </w:rPr>
              <w:t>技能竞赛类</w:t>
            </w:r>
          </w:p>
        </w:tc>
        <w:tc>
          <w:tcPr>
            <w:tcW w:w="1949" w:type="dxa"/>
            <w:vAlign w:val="center"/>
          </w:tcPr>
          <w:p>
            <w:pPr>
              <w:jc w:val="cente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为0.5学分、1学分、2学分、3学分；省级优秀奖、三等奖、二等奖、一等奖、特等奖可分别为2学分、3学分、4学分、5学分、6学分；国家级优秀奖、三等奖、二等奖、一等奖、特等奖可分别为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continue"/>
            <w:vAlign w:val="center"/>
          </w:tcPr>
          <w:p>
            <w:pPr>
              <w:jc w:val="center"/>
              <w:rPr>
                <w:rFonts w:ascii="宋体" w:hAnsi="宋体"/>
                <w:sz w:val="18"/>
                <w:szCs w:val="18"/>
              </w:rPr>
            </w:pPr>
          </w:p>
        </w:tc>
        <w:tc>
          <w:tcPr>
            <w:tcW w:w="1949" w:type="dxa"/>
            <w:vAlign w:val="center"/>
          </w:tcPr>
          <w:p>
            <w:pPr>
              <w:jc w:val="cente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为0.5学分、1学分；省级优秀奖、三等奖、二等奖、一等奖、特等奖可分别为1学分、2学分、3学分、4学分、5学分；国家级优秀奖、三等奖、二等奖、一等奖、特等奖可分别为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continue"/>
            <w:vAlign w:val="center"/>
          </w:tcPr>
          <w:p>
            <w:pPr>
              <w:jc w:val="center"/>
              <w:rPr>
                <w:rFonts w:ascii="宋体" w:hAnsi="宋体"/>
                <w:sz w:val="18"/>
                <w:szCs w:val="18"/>
              </w:rPr>
            </w:pPr>
          </w:p>
        </w:tc>
        <w:tc>
          <w:tcPr>
            <w:tcW w:w="1949" w:type="dxa"/>
            <w:vAlign w:val="center"/>
          </w:tcPr>
          <w:p>
            <w:pPr>
              <w:jc w:val="cente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校级技能竞赛一等奖以上为0.5学分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restart"/>
            <w:vAlign w:val="center"/>
          </w:tcPr>
          <w:p>
            <w:pPr>
              <w:jc w:val="center"/>
              <w:rPr>
                <w:rFonts w:ascii="宋体" w:hAnsi="宋体"/>
                <w:sz w:val="18"/>
                <w:szCs w:val="18"/>
              </w:rPr>
            </w:pPr>
            <w:r>
              <w:rPr>
                <w:rFonts w:hint="eastAsia" w:ascii="宋体" w:hAnsi="宋体"/>
                <w:sz w:val="18"/>
                <w:szCs w:val="18"/>
              </w:rPr>
              <w:t>项目开发类</w:t>
            </w:r>
          </w:p>
        </w:tc>
        <w:tc>
          <w:tcPr>
            <w:tcW w:w="1949" w:type="dxa"/>
            <w:vAlign w:val="center"/>
          </w:tcPr>
          <w:p>
            <w:pPr>
              <w:jc w:val="cente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continue"/>
            <w:vAlign w:val="center"/>
          </w:tcPr>
          <w:p>
            <w:pPr>
              <w:jc w:val="center"/>
              <w:rPr>
                <w:rFonts w:ascii="宋体" w:hAnsi="宋体"/>
                <w:sz w:val="18"/>
                <w:szCs w:val="18"/>
              </w:rPr>
            </w:pPr>
          </w:p>
        </w:tc>
        <w:tc>
          <w:tcPr>
            <w:tcW w:w="1949" w:type="dxa"/>
            <w:vAlign w:val="center"/>
          </w:tcPr>
          <w:p>
            <w:pPr>
              <w:jc w:val="cente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参与老师组织的项目开发，由专业负责人和项目主持老师认定可替换学分，原则上参加2周为1学分。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Align w:val="center"/>
          </w:tcPr>
          <w:p>
            <w:pPr>
              <w:jc w:val="center"/>
              <w:rPr>
                <w:rFonts w:ascii="宋体" w:hAnsi="宋体"/>
                <w:sz w:val="18"/>
                <w:szCs w:val="18"/>
              </w:rPr>
            </w:pPr>
            <w:r>
              <w:rPr>
                <w:rFonts w:hint="eastAsia" w:ascii="宋体" w:hAnsi="宋体"/>
                <w:sz w:val="18"/>
                <w:szCs w:val="18"/>
              </w:rPr>
              <w:t>职业资格证书类</w:t>
            </w:r>
          </w:p>
        </w:tc>
        <w:tc>
          <w:tcPr>
            <w:tcW w:w="1949" w:type="dxa"/>
            <w:vAlign w:val="center"/>
          </w:tcPr>
          <w:p>
            <w:pPr>
              <w:jc w:val="cente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取得中级工可替换1学分，高级工可替换2学分，技师级可为6学分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restart"/>
            <w:vAlign w:val="center"/>
          </w:tcPr>
          <w:p>
            <w:pPr>
              <w:jc w:val="center"/>
              <w:rPr>
                <w:rFonts w:ascii="宋体" w:hAnsi="宋体"/>
                <w:sz w:val="18"/>
                <w:szCs w:val="18"/>
              </w:rPr>
            </w:pPr>
            <w:r>
              <w:rPr>
                <w:rFonts w:hint="eastAsia" w:ascii="宋体" w:hAnsi="宋体"/>
                <w:sz w:val="18"/>
                <w:szCs w:val="18"/>
              </w:rPr>
              <w:t>发明专利类</w:t>
            </w:r>
          </w:p>
        </w:tc>
        <w:tc>
          <w:tcPr>
            <w:tcW w:w="1949" w:type="dxa"/>
            <w:vAlign w:val="center"/>
          </w:tcPr>
          <w:p>
            <w:pPr>
              <w:jc w:val="cente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可为8学分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continue"/>
            <w:vAlign w:val="center"/>
          </w:tcPr>
          <w:p>
            <w:pPr>
              <w:jc w:val="center"/>
              <w:rPr>
                <w:rFonts w:ascii="宋体" w:hAnsi="宋体"/>
                <w:sz w:val="18"/>
                <w:szCs w:val="18"/>
              </w:rPr>
            </w:pPr>
          </w:p>
        </w:tc>
        <w:tc>
          <w:tcPr>
            <w:tcW w:w="1949" w:type="dxa"/>
            <w:vAlign w:val="center"/>
          </w:tcPr>
          <w:p>
            <w:pPr>
              <w:jc w:val="cente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可为6学分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1" w:type="dxa"/>
            <w:vMerge w:val="continue"/>
            <w:vAlign w:val="center"/>
          </w:tcPr>
          <w:p>
            <w:pPr>
              <w:jc w:val="center"/>
              <w:rPr>
                <w:rFonts w:ascii="宋体" w:hAnsi="宋体"/>
                <w:sz w:val="18"/>
                <w:szCs w:val="18"/>
              </w:rPr>
            </w:pPr>
          </w:p>
        </w:tc>
        <w:tc>
          <w:tcPr>
            <w:tcW w:w="1949" w:type="dxa"/>
            <w:vAlign w:val="center"/>
          </w:tcPr>
          <w:p>
            <w:pPr>
              <w:jc w:val="cente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可为4学分</w:t>
            </w:r>
          </w:p>
        </w:tc>
      </w:tr>
    </w:tbl>
    <w:p>
      <w:pPr>
        <w:spacing w:line="360" w:lineRule="auto"/>
        <w:ind w:firstLine="361" w:firstLineChars="200"/>
        <w:rPr>
          <w:rFonts w:ascii="宋体" w:hAnsi="宋体"/>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 xml:space="preserve">注 </w:t>
      </w:r>
      <w:r>
        <w:rPr>
          <w:rFonts w:hint="eastAsia" w:ascii="宋体" w:hAnsi="宋体"/>
          <w:color w:val="000000" w:themeColor="text1"/>
          <w:sz w:val="18"/>
          <w:szCs w:val="18"/>
          <w14:textFill>
            <w14:solidFill>
              <w14:schemeClr w14:val="tx1"/>
            </w14:solidFill>
          </w14:textFill>
        </w:rPr>
        <w:t>同一项目获不同等级奖励学分者，只计最高分，不重复奖励。学生在校期内，可认定的证书类以外奖励学分累计不超过 6 学分。</w:t>
      </w: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pStyle w:val="15"/>
        <w:numPr>
          <w:ilvl w:val="0"/>
          <w:numId w:val="8"/>
        </w:numPr>
        <w:adjustRightInd w:val="0"/>
        <w:snapToGrid w:val="0"/>
        <w:spacing w:line="360" w:lineRule="auto"/>
        <w:ind w:left="0" w:firstLine="420"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普通话等级考试证书（二级乙等及以上）</w:t>
      </w:r>
    </w:p>
    <w:p>
      <w:pPr>
        <w:pStyle w:val="15"/>
        <w:numPr>
          <w:ilvl w:val="0"/>
          <w:numId w:val="8"/>
        </w:numPr>
        <w:adjustRightInd w:val="0"/>
        <w:snapToGrid w:val="0"/>
        <w:spacing w:line="360" w:lineRule="auto"/>
        <w:ind w:left="0" w:firstLine="420"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小学数学教师资格证书</w:t>
      </w:r>
      <w:r>
        <w:rPr>
          <w:rFonts w:ascii="宋体" w:hAnsi="宋体"/>
          <w:color w:val="000000" w:themeColor="text1"/>
          <w:szCs w:val="21"/>
          <w14:textFill>
            <w14:solidFill>
              <w14:schemeClr w14:val="tx1"/>
            </w14:solidFill>
          </w14:textFill>
        </w:rPr>
        <w:t xml:space="preserve">* </w:t>
      </w:r>
    </w:p>
    <w:p>
      <w:pPr>
        <w:pStyle w:val="15"/>
        <w:numPr>
          <w:ilvl w:val="0"/>
          <w:numId w:val="8"/>
        </w:numPr>
        <w:adjustRightInd w:val="0"/>
        <w:snapToGrid w:val="0"/>
        <w:spacing w:line="360" w:lineRule="auto"/>
        <w:ind w:left="0" w:firstLine="420"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全国计算机等级考试证书（一级以上）☆</w:t>
      </w:r>
    </w:p>
    <w:p>
      <w:pPr>
        <w:pStyle w:val="15"/>
        <w:numPr>
          <w:ilvl w:val="0"/>
          <w:numId w:val="8"/>
        </w:numPr>
        <w:adjustRightInd w:val="0"/>
        <w:snapToGrid w:val="0"/>
        <w:spacing w:line="360" w:lineRule="auto"/>
        <w:ind w:left="0" w:firstLine="420"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学英语等级考试证书（鼓励报考）☆</w:t>
      </w:r>
    </w:p>
    <w:p>
      <w:pPr>
        <w:adjustRightInd w:val="0"/>
        <w:snapToGrid w:val="0"/>
        <w:spacing w:line="360" w:lineRule="auto"/>
        <w:rPr>
          <w:rFonts w:ascii="宋体" w:hAnsi="宋体"/>
          <w:b/>
          <w:bCs/>
          <w:szCs w:val="21"/>
        </w:rPr>
      </w:pPr>
      <w:r>
        <w:rPr>
          <w:rFonts w:hint="eastAsia" w:ascii="宋体" w:hAnsi="宋体"/>
          <w:color w:val="000000" w:themeColor="text1"/>
          <w:szCs w:val="21"/>
          <w14:textFill>
            <w14:solidFill>
              <w14:schemeClr w14:val="tx1"/>
            </w14:solidFill>
          </w14:textFill>
        </w:rPr>
        <w:t>注：*表示职业资格证书；☆表示职业技能等级证书。</w:t>
      </w:r>
    </w:p>
    <w:p>
      <w:pPr>
        <w:spacing w:line="360" w:lineRule="exact"/>
        <w:ind w:firstLine="422" w:firstLineChars="200"/>
        <w:outlineLvl w:val="0"/>
        <w:rPr>
          <w:rFonts w:ascii="仿宋_GB2312"/>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ascii="宋体" w:hAnsi="宋体"/>
          <w:b/>
          <w:bCs/>
          <w:szCs w:val="21"/>
        </w:rPr>
      </w:pPr>
      <w:r>
        <w:drawing>
          <wp:inline distT="0" distB="0" distL="114300" distR="114300">
            <wp:extent cx="5629275" cy="3286125"/>
            <wp:effectExtent l="0" t="0" r="9525"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6"/>
                    <a:stretch>
                      <a:fillRect/>
                    </a:stretch>
                  </pic:blipFill>
                  <pic:spPr>
                    <a:xfrm>
                      <a:off x="0" y="0"/>
                      <a:ext cx="5629275" cy="3286125"/>
                    </a:xfrm>
                    <a:prstGeom prst="rect">
                      <a:avLst/>
                    </a:prstGeom>
                    <a:noFill/>
                    <a:ln>
                      <a:noFill/>
                    </a:ln>
                  </pic:spPr>
                </pic:pic>
              </a:graphicData>
            </a:graphic>
          </wp:inline>
        </w:drawing>
      </w: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center"/>
        <w:rPr>
          <w:rFonts w:ascii="宋体" w:hAnsi="宋体"/>
          <w:szCs w:val="21"/>
        </w:rPr>
      </w:pPr>
    </w:p>
    <w:p>
      <w:pPr>
        <w:adjustRightInd w:val="0"/>
        <w:snapToGrid w:val="0"/>
        <w:spacing w:line="360" w:lineRule="auto"/>
        <w:jc w:val="left"/>
        <w:rPr>
          <w:rFonts w:ascii="宋体" w:hAnsi="宋体"/>
          <w:b/>
          <w:bCs/>
          <w:szCs w:val="21"/>
        </w:rPr>
      </w:pPr>
      <w:r>
        <w:rPr>
          <w:rFonts w:hint="eastAsia" w:ascii="宋体" w:hAnsi="宋体"/>
          <w:b/>
          <w:szCs w:val="21"/>
        </w:rPr>
        <w:t>附件1－2</w:t>
      </w:r>
    </w:p>
    <w:p>
      <w:pPr>
        <w:adjustRightInd w:val="0"/>
        <w:snapToGrid w:val="0"/>
        <w:spacing w:line="360" w:lineRule="auto"/>
        <w:jc w:val="center"/>
        <w:rPr>
          <w:rFonts w:ascii="宋体" w:hAnsi="宋体"/>
          <w:szCs w:val="21"/>
        </w:rPr>
      </w:pPr>
      <w:r>
        <w:drawing>
          <wp:inline distT="0" distB="0" distL="114300" distR="114300">
            <wp:extent cx="6009005" cy="6537325"/>
            <wp:effectExtent l="0" t="0" r="10795" b="158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6009005" cy="6537325"/>
                    </a:xfrm>
                    <a:prstGeom prst="rect">
                      <a:avLst/>
                    </a:prstGeom>
                    <a:noFill/>
                    <a:ln>
                      <a:noFill/>
                    </a:ln>
                  </pic:spPr>
                </pic:pic>
              </a:graphicData>
            </a:graphic>
          </wp:inline>
        </w:drawing>
      </w:r>
    </w:p>
    <w:p>
      <w:pPr>
        <w:adjustRightInd w:val="0"/>
        <w:snapToGrid w:val="0"/>
        <w:spacing w:line="360" w:lineRule="auto"/>
        <w:jc w:val="left"/>
        <w:rPr>
          <w:rFonts w:ascii="宋体" w:hAnsi="宋体"/>
          <w:szCs w:val="21"/>
        </w:rPr>
      </w:pPr>
    </w:p>
    <w:p>
      <w:pPr>
        <w:adjustRightInd w:val="0"/>
        <w:snapToGrid w:val="0"/>
        <w:spacing w:line="360" w:lineRule="auto"/>
        <w:jc w:val="left"/>
        <w:rPr>
          <w:rFonts w:hint="eastAsia" w:ascii="宋体" w:hAnsi="宋体"/>
          <w:b/>
          <w:szCs w:val="21"/>
        </w:rPr>
      </w:pPr>
      <w:r>
        <w:rPr>
          <w:rFonts w:hint="eastAsia" w:ascii="宋体" w:hAnsi="宋体"/>
          <w:b/>
          <w:szCs w:val="21"/>
        </w:rPr>
        <w:t>附件1－3</w:t>
      </w:r>
    </w:p>
    <w:p>
      <w:pPr>
        <w:adjustRightInd w:val="0"/>
        <w:snapToGrid w:val="0"/>
        <w:spacing w:line="360" w:lineRule="auto"/>
        <w:jc w:val="left"/>
        <w:rPr>
          <w:rFonts w:hint="eastAsia" w:ascii="宋体" w:hAnsi="宋体"/>
          <w:b/>
          <w:szCs w:val="21"/>
        </w:rPr>
      </w:pPr>
      <w:r>
        <w:drawing>
          <wp:inline distT="0" distB="0" distL="114300" distR="114300">
            <wp:extent cx="6010275" cy="877252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8"/>
                    <a:stretch>
                      <a:fillRect/>
                    </a:stretch>
                  </pic:blipFill>
                  <pic:spPr>
                    <a:xfrm>
                      <a:off x="0" y="0"/>
                      <a:ext cx="6010275" cy="8772525"/>
                    </a:xfrm>
                    <a:prstGeom prst="rect">
                      <a:avLst/>
                    </a:prstGeom>
                    <a:noFill/>
                    <a:ln>
                      <a:noFill/>
                    </a:ln>
                  </pic:spPr>
                </pic:pic>
              </a:graphicData>
            </a:graphic>
          </wp:inline>
        </w:drawing>
      </w:r>
    </w:p>
    <w:p>
      <w:pPr>
        <w:adjustRightInd w:val="0"/>
        <w:snapToGrid w:val="0"/>
        <w:spacing w:line="360" w:lineRule="auto"/>
        <w:jc w:val="left"/>
        <w:rPr>
          <w:rFonts w:ascii="宋体" w:hAnsi="宋体"/>
          <w:szCs w:val="21"/>
        </w:rPr>
      </w:pPr>
    </w:p>
    <w:p>
      <w:pPr>
        <w:adjustRightInd w:val="0"/>
        <w:snapToGrid w:val="0"/>
        <w:spacing w:line="360" w:lineRule="auto"/>
        <w:jc w:val="left"/>
        <w:rPr>
          <w:b/>
        </w:rPr>
      </w:pPr>
      <w:r>
        <w:rPr>
          <w:rFonts w:hint="eastAsia"/>
          <w:b/>
        </w:rPr>
        <w:t>附件1-</w:t>
      </w:r>
      <w:r>
        <w:rPr>
          <w:b/>
        </w:rPr>
        <w:t>4</w:t>
      </w:r>
    </w:p>
    <w:p>
      <w:pPr>
        <w:adjustRightInd w:val="0"/>
        <w:snapToGrid w:val="0"/>
        <w:spacing w:line="360" w:lineRule="auto"/>
        <w:jc w:val="center"/>
      </w:pPr>
      <w:r>
        <w:drawing>
          <wp:inline distT="0" distB="0" distL="114300" distR="114300">
            <wp:extent cx="6007100" cy="2959100"/>
            <wp:effectExtent l="0" t="0" r="1270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6007100" cy="2959100"/>
                    </a:xfrm>
                    <a:prstGeom prst="rect">
                      <a:avLst/>
                    </a:prstGeom>
                    <a:noFill/>
                    <a:ln>
                      <a:noFill/>
                    </a:ln>
                  </pic:spPr>
                </pic:pic>
              </a:graphicData>
            </a:graphic>
          </wp:inline>
        </w:drawing>
      </w:r>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14</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9"/>
      </w:rPr>
    </w:pPr>
    <w:r>
      <w:fldChar w:fldCharType="begin"/>
    </w:r>
    <w:r>
      <w:rPr>
        <w:rStyle w:val="9"/>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4434D95D"/>
    <w:multiLevelType w:val="singleLevel"/>
    <w:tmpl w:val="4434D95D"/>
    <w:lvl w:ilvl="0" w:tentative="0">
      <w:start w:val="1"/>
      <w:numFmt w:val="decimal"/>
      <w:suff w:val="nothing"/>
      <w:lvlText w:val="（%1）"/>
      <w:lvlJc w:val="left"/>
    </w:lvl>
  </w:abstractNum>
  <w:abstractNum w:abstractNumId="2">
    <w:nsid w:val="4B5BC82D"/>
    <w:multiLevelType w:val="singleLevel"/>
    <w:tmpl w:val="4B5BC82D"/>
    <w:lvl w:ilvl="0" w:tentative="0">
      <w:start w:val="1"/>
      <w:numFmt w:val="decimal"/>
      <w:lvlText w:val="%1."/>
      <w:lvlJc w:val="left"/>
      <w:pPr>
        <w:tabs>
          <w:tab w:val="left" w:pos="312"/>
        </w:tabs>
      </w:pPr>
    </w:lvl>
  </w:abstractNum>
  <w:abstractNum w:abstractNumId="3">
    <w:nsid w:val="4BA70E0F"/>
    <w:multiLevelType w:val="multilevel"/>
    <w:tmpl w:val="4BA70E0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07B4069"/>
    <w:multiLevelType w:val="multilevel"/>
    <w:tmpl w:val="507B4069"/>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9196ECB"/>
    <w:multiLevelType w:val="singleLevel"/>
    <w:tmpl w:val="59196ECB"/>
    <w:lvl w:ilvl="0" w:tentative="0">
      <w:start w:val="3"/>
      <w:numFmt w:val="chineseCounting"/>
      <w:suff w:val="nothing"/>
      <w:lvlText w:val="（%1）"/>
      <w:lvlJc w:val="left"/>
    </w:lvl>
  </w:abstractNum>
  <w:abstractNum w:abstractNumId="6">
    <w:nsid w:val="591970B7"/>
    <w:multiLevelType w:val="singleLevel"/>
    <w:tmpl w:val="591970B7"/>
    <w:lvl w:ilvl="0" w:tentative="0">
      <w:start w:val="1"/>
      <w:numFmt w:val="decimal"/>
      <w:suff w:val="nothing"/>
      <w:lvlText w:val="%1."/>
      <w:lvlJc w:val="left"/>
    </w:lvl>
  </w:abstractNum>
  <w:abstractNum w:abstractNumId="7">
    <w:nsid w:val="60AD25A1"/>
    <w:multiLevelType w:val="multilevel"/>
    <w:tmpl w:val="60AD25A1"/>
    <w:lvl w:ilvl="0" w:tentative="0">
      <w:start w:val="1"/>
      <w:numFmt w:val="decimal"/>
      <w:lvlText w:val="(%1)"/>
      <w:lvlJc w:val="left"/>
      <w:pPr>
        <w:ind w:left="735" w:hanging="420"/>
      </w:pPr>
      <w:rPr>
        <w:rFonts w:hint="eastAsia"/>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2"/>
  </w:num>
  <w:num w:numId="2">
    <w:abstractNumId w:val="7"/>
  </w:num>
  <w:num w:numId="3">
    <w:abstractNumId w:val="0"/>
  </w:num>
  <w:num w:numId="4">
    <w:abstractNumId w:val="5"/>
  </w:num>
  <w:num w:numId="5">
    <w:abstractNumId w:val="4"/>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53216"/>
    <w:rsid w:val="00056410"/>
    <w:rsid w:val="000B32B3"/>
    <w:rsid w:val="000B66CF"/>
    <w:rsid w:val="000C3AA5"/>
    <w:rsid w:val="000D3C78"/>
    <w:rsid w:val="000F0BBD"/>
    <w:rsid w:val="000F4257"/>
    <w:rsid w:val="00104D78"/>
    <w:rsid w:val="00137827"/>
    <w:rsid w:val="00167664"/>
    <w:rsid w:val="0018207D"/>
    <w:rsid w:val="001F3460"/>
    <w:rsid w:val="00207C41"/>
    <w:rsid w:val="002102C2"/>
    <w:rsid w:val="00210CBC"/>
    <w:rsid w:val="00214C49"/>
    <w:rsid w:val="00240E35"/>
    <w:rsid w:val="002430F7"/>
    <w:rsid w:val="002B1E4B"/>
    <w:rsid w:val="00383AC9"/>
    <w:rsid w:val="00387013"/>
    <w:rsid w:val="003870C7"/>
    <w:rsid w:val="00393A8F"/>
    <w:rsid w:val="00396300"/>
    <w:rsid w:val="003A5AF2"/>
    <w:rsid w:val="003F361F"/>
    <w:rsid w:val="004021BF"/>
    <w:rsid w:val="004259A5"/>
    <w:rsid w:val="00442E25"/>
    <w:rsid w:val="00490E60"/>
    <w:rsid w:val="00495F34"/>
    <w:rsid w:val="0049795F"/>
    <w:rsid w:val="004B238E"/>
    <w:rsid w:val="004C17E9"/>
    <w:rsid w:val="004E11E8"/>
    <w:rsid w:val="004E71B0"/>
    <w:rsid w:val="00503F7B"/>
    <w:rsid w:val="00512169"/>
    <w:rsid w:val="0052040B"/>
    <w:rsid w:val="00524BF5"/>
    <w:rsid w:val="00561160"/>
    <w:rsid w:val="005970D4"/>
    <w:rsid w:val="005A2CC8"/>
    <w:rsid w:val="005C0109"/>
    <w:rsid w:val="005D31CD"/>
    <w:rsid w:val="005E1795"/>
    <w:rsid w:val="0060152A"/>
    <w:rsid w:val="006070E8"/>
    <w:rsid w:val="00633F37"/>
    <w:rsid w:val="00635140"/>
    <w:rsid w:val="00651883"/>
    <w:rsid w:val="006B34E6"/>
    <w:rsid w:val="006C36C8"/>
    <w:rsid w:val="006C7C43"/>
    <w:rsid w:val="006C7FEB"/>
    <w:rsid w:val="006D7DEC"/>
    <w:rsid w:val="0071504A"/>
    <w:rsid w:val="00772E41"/>
    <w:rsid w:val="00785209"/>
    <w:rsid w:val="007919BB"/>
    <w:rsid w:val="00796577"/>
    <w:rsid w:val="007E1AAC"/>
    <w:rsid w:val="007E718E"/>
    <w:rsid w:val="008119F5"/>
    <w:rsid w:val="00863059"/>
    <w:rsid w:val="0088053A"/>
    <w:rsid w:val="008825AF"/>
    <w:rsid w:val="008F4A3E"/>
    <w:rsid w:val="008F512C"/>
    <w:rsid w:val="008F7146"/>
    <w:rsid w:val="00927297"/>
    <w:rsid w:val="00930B7E"/>
    <w:rsid w:val="00934242"/>
    <w:rsid w:val="009427E6"/>
    <w:rsid w:val="00984BBF"/>
    <w:rsid w:val="00996AC6"/>
    <w:rsid w:val="009B65DC"/>
    <w:rsid w:val="009B6DC1"/>
    <w:rsid w:val="009E49CC"/>
    <w:rsid w:val="009E7C6B"/>
    <w:rsid w:val="00A34C98"/>
    <w:rsid w:val="00A62FAF"/>
    <w:rsid w:val="00A74478"/>
    <w:rsid w:val="00AB0D47"/>
    <w:rsid w:val="00AB44BF"/>
    <w:rsid w:val="00AD5A90"/>
    <w:rsid w:val="00B136BE"/>
    <w:rsid w:val="00B76F91"/>
    <w:rsid w:val="00BA6ADB"/>
    <w:rsid w:val="00BB106C"/>
    <w:rsid w:val="00BB678E"/>
    <w:rsid w:val="00BB7C09"/>
    <w:rsid w:val="00BE0CF3"/>
    <w:rsid w:val="00BE7C25"/>
    <w:rsid w:val="00C37769"/>
    <w:rsid w:val="00C475D1"/>
    <w:rsid w:val="00C53EFF"/>
    <w:rsid w:val="00C915D6"/>
    <w:rsid w:val="00CA603F"/>
    <w:rsid w:val="00CD23E0"/>
    <w:rsid w:val="00CD492D"/>
    <w:rsid w:val="00CF3FFD"/>
    <w:rsid w:val="00D161FD"/>
    <w:rsid w:val="00D46F02"/>
    <w:rsid w:val="00D675CC"/>
    <w:rsid w:val="00D87D7A"/>
    <w:rsid w:val="00DB711A"/>
    <w:rsid w:val="00DB79B5"/>
    <w:rsid w:val="00E046AB"/>
    <w:rsid w:val="00E32DD5"/>
    <w:rsid w:val="00E615B8"/>
    <w:rsid w:val="00E66872"/>
    <w:rsid w:val="00E835B0"/>
    <w:rsid w:val="00EC6F44"/>
    <w:rsid w:val="00EF3EC3"/>
    <w:rsid w:val="00F04EE9"/>
    <w:rsid w:val="00F420B6"/>
    <w:rsid w:val="00F70FE4"/>
    <w:rsid w:val="00F87A33"/>
    <w:rsid w:val="00FB51F5"/>
    <w:rsid w:val="2BD238B3"/>
    <w:rsid w:val="2FC85C5A"/>
    <w:rsid w:val="4B276DA0"/>
    <w:rsid w:val="533D1D8D"/>
    <w:rsid w:val="68CD2474"/>
    <w:rsid w:val="7C5F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qFormat/>
    <w:uiPriority w:val="0"/>
    <w:rPr>
      <w:b/>
      <w:bCs/>
    </w:rPr>
  </w:style>
  <w:style w:type="character" w:styleId="9">
    <w:name w:val="page number"/>
    <w:basedOn w:val="7"/>
    <w:qFormat/>
    <w:uiPriority w:val="0"/>
  </w:style>
  <w:style w:type="character" w:styleId="10">
    <w:name w:val="FollowedHyperlink"/>
    <w:basedOn w:val="7"/>
    <w:semiHidden/>
    <w:unhideWhenUsed/>
    <w:qFormat/>
    <w:uiPriority w:val="99"/>
    <w:rPr>
      <w:color w:val="800080"/>
      <w:u w:val="single"/>
    </w:rPr>
  </w:style>
  <w:style w:type="character" w:styleId="11">
    <w:name w:val="Hyperlink"/>
    <w:basedOn w:val="7"/>
    <w:semiHidden/>
    <w:unhideWhenUsed/>
    <w:qFormat/>
    <w:uiPriority w:val="99"/>
    <w:rPr>
      <w:color w:val="0000FF"/>
      <w:u w:val="single"/>
    </w:rPr>
  </w:style>
  <w:style w:type="character" w:customStyle="1" w:styleId="12">
    <w:name w:val="页脚 字符"/>
    <w:link w:val="3"/>
    <w:qFormat/>
    <w:uiPriority w:val="99"/>
    <w:rPr>
      <w:sz w:val="18"/>
      <w:szCs w:val="18"/>
    </w:rPr>
  </w:style>
  <w:style w:type="character" w:customStyle="1" w:styleId="13">
    <w:name w:val="页脚 Char1"/>
    <w:basedOn w:val="7"/>
    <w:semiHidden/>
    <w:qFormat/>
    <w:uiPriority w:val="99"/>
    <w:rPr>
      <w:rFonts w:ascii="Times New Roman" w:hAnsi="Times New Roman" w:eastAsia="宋体" w:cs="Times New Roman"/>
      <w:sz w:val="18"/>
      <w:szCs w:val="18"/>
    </w:rPr>
  </w:style>
  <w:style w:type="character" w:customStyle="1" w:styleId="14">
    <w:name w:val="批注框文本 字符"/>
    <w:basedOn w:val="7"/>
    <w:link w:val="2"/>
    <w:semiHidden/>
    <w:qFormat/>
    <w:uiPriority w:val="99"/>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paragraph" w:customStyle="1" w:styleId="16">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
    <w:name w:val="font7"/>
    <w:basedOn w:val="1"/>
    <w:qFormat/>
    <w:uiPriority w:val="0"/>
    <w:pPr>
      <w:widowControl/>
      <w:spacing w:before="100" w:beforeAutospacing="1" w:after="100" w:afterAutospacing="1"/>
      <w:jc w:val="left"/>
    </w:pPr>
    <w:rPr>
      <w:kern w:val="0"/>
      <w:sz w:val="18"/>
      <w:szCs w:val="18"/>
    </w:rPr>
  </w:style>
  <w:style w:type="paragraph" w:customStyle="1" w:styleId="20">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11"/>
    <w:basedOn w:val="1"/>
    <w:uiPriority w:val="0"/>
    <w:pPr>
      <w:widowControl/>
      <w:spacing w:before="100" w:beforeAutospacing="1" w:after="100" w:afterAutospacing="1"/>
      <w:jc w:val="left"/>
    </w:pPr>
    <w:rPr>
      <w:rFonts w:ascii="宋体" w:hAnsi="宋体" w:cs="宋体"/>
      <w:kern w:val="0"/>
      <w:sz w:val="24"/>
    </w:rPr>
  </w:style>
  <w:style w:type="paragraph" w:customStyle="1" w:styleId="24">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
    <w:name w:val="xl65"/>
    <w:basedOn w:val="1"/>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7">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9">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0">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1">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2">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3">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4">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5">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7">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40">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3">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5">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9">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3">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4">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5">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7">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8">
    <w:name w:val="xl97"/>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9">
    <w:name w:val="xl98"/>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60">
    <w:name w:val="xl99"/>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2">
    <w:name w:val="xl101"/>
    <w:basedOn w:val="1"/>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4"/>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6">
    <w:name w:val="xl10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7">
    <w:name w:val="xl106"/>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8">
    <w:name w:val="xl107"/>
    <w:basedOn w:val="1"/>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8"/>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09"/>
    <w:basedOn w:val="1"/>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1">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2">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3">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5">
    <w:name w:val="xl114"/>
    <w:basedOn w:val="1"/>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6">
    <w:name w:val="xl11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7">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8"/>
    <w:basedOn w:val="1"/>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2">
    <w:name w:val="xl121"/>
    <w:basedOn w:val="1"/>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5">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6">
    <w:name w:val="xl125"/>
    <w:basedOn w:val="1"/>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7">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8">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9">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0">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1">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2">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3">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5">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7">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8">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2">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5">
    <w:name w:val="xl144"/>
    <w:basedOn w:val="1"/>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6">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7">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8">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1">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4">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5">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6">
    <w:name w:val="xl155"/>
    <w:basedOn w:val="1"/>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7">
    <w:name w:val="xl156"/>
    <w:basedOn w:val="1"/>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8">
    <w:name w:val="xl157"/>
    <w:basedOn w:val="1"/>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9">
    <w:name w:val="xl158"/>
    <w:basedOn w:val="1"/>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20">
    <w:name w:val="页眉 字符"/>
    <w:basedOn w:val="7"/>
    <w:link w:val="4"/>
    <w:uiPriority w:val="99"/>
    <w:rPr>
      <w:rFonts w:ascii="Times New Roman" w:hAnsi="Times New Roman" w:eastAsia="宋体" w:cs="Times New Roman"/>
      <w:sz w:val="18"/>
      <w:szCs w:val="18"/>
    </w:rPr>
  </w:style>
  <w:style w:type="table" w:customStyle="1" w:styleId="121">
    <w:name w:val="网格型浅色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122">
    <w:name w:val="Table Paragraph"/>
    <w:basedOn w:val="1"/>
    <w:qFormat/>
    <w:uiPriority w:val="1"/>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14</Pages>
  <Words>7064</Words>
  <Characters>7260</Characters>
  <Lines>57</Lines>
  <Paragraphs>16</Paragraphs>
  <TotalTime>9</TotalTime>
  <ScaleCrop>false</ScaleCrop>
  <LinksUpToDate>false</LinksUpToDate>
  <CharactersWithSpaces>7479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2022-12-14T01:19:03Z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A879F115188A4B29A609CCD189D20723</vt:lpwstr>
  </property>
</Properties>
</file>