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财税大数据应用专业人才培养方案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财经学院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财税大数据应用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彭冰瑜、黄奕为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级财税大数据应用专业人才培养方案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ascii="宋体" w:hAnsi="宋体"/>
          <w:szCs w:val="21"/>
        </w:rPr>
      </w:pPr>
      <w:r>
        <w:rPr>
          <w:rFonts w:hint="eastAsia"/>
          <w:szCs w:val="21"/>
        </w:rPr>
        <w:tab/>
      </w:r>
      <w:r>
        <w:rPr>
          <w:rFonts w:hint="eastAsia"/>
          <w:szCs w:val="21"/>
        </w:rPr>
        <w:t>财税大数据应用(专业代码:</w:t>
      </w:r>
      <w:r>
        <w:rPr>
          <w:szCs w:val="21"/>
        </w:rPr>
        <w:t>530101</w:t>
      </w:r>
      <w:r>
        <w:rPr>
          <w:rFonts w:hint="eastAsia"/>
          <w:szCs w:val="21"/>
        </w:rPr>
        <w:t>)</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48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417"/>
        <w:gridCol w:w="3233"/>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417"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3233"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1870"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rPr>
              <w:t>财经商贸大类</w:t>
            </w:r>
          </w:p>
        </w:tc>
        <w:tc>
          <w:tcPr>
            <w:tcW w:w="1142" w:type="dxa"/>
          </w:tcPr>
          <w:p>
            <w:pPr>
              <w:spacing w:line="400" w:lineRule="exact"/>
              <w:rPr>
                <w:rFonts w:ascii="宋体" w:hAnsi="宋体"/>
                <w:bCs/>
                <w:szCs w:val="21"/>
              </w:rPr>
            </w:pPr>
            <w:r>
              <w:rPr>
                <w:rFonts w:hint="eastAsia" w:ascii="宋体" w:hAnsi="宋体"/>
                <w:bCs/>
                <w:szCs w:val="21"/>
              </w:rPr>
              <w:t>财政税务类</w:t>
            </w:r>
          </w:p>
        </w:tc>
        <w:tc>
          <w:tcPr>
            <w:tcW w:w="1134" w:type="dxa"/>
          </w:tcPr>
          <w:p>
            <w:pPr>
              <w:spacing w:line="400" w:lineRule="exact"/>
              <w:rPr>
                <w:rFonts w:ascii="宋体" w:hAnsi="宋体"/>
                <w:bCs/>
                <w:szCs w:val="21"/>
              </w:rPr>
            </w:pPr>
            <w:r>
              <w:rPr>
                <w:rFonts w:hint="eastAsia" w:ascii="宋体" w:hAnsi="宋体"/>
                <w:bCs/>
                <w:szCs w:val="21"/>
              </w:rPr>
              <w:t>会计、金融行业</w:t>
            </w:r>
          </w:p>
        </w:tc>
        <w:tc>
          <w:tcPr>
            <w:tcW w:w="1417" w:type="dxa"/>
          </w:tcPr>
          <w:p>
            <w:pPr>
              <w:spacing w:line="400" w:lineRule="exact"/>
              <w:rPr>
                <w:rFonts w:ascii="宋体" w:hAnsi="宋体"/>
                <w:bCs/>
                <w:szCs w:val="21"/>
              </w:rPr>
            </w:pPr>
            <w:r>
              <w:rPr>
                <w:rFonts w:hint="eastAsia" w:ascii="宋体" w:hAnsi="宋体"/>
                <w:bCs/>
                <w:szCs w:val="21"/>
              </w:rPr>
              <w:t>财经专业技术人员、企事业单位人员</w:t>
            </w:r>
          </w:p>
        </w:tc>
        <w:tc>
          <w:tcPr>
            <w:tcW w:w="3233" w:type="dxa"/>
          </w:tcPr>
          <w:p>
            <w:pPr>
              <w:spacing w:line="400" w:lineRule="exact"/>
              <w:rPr>
                <w:rFonts w:ascii="宋体" w:hAnsi="宋体"/>
                <w:bCs/>
                <w:szCs w:val="21"/>
              </w:rPr>
            </w:pPr>
            <w:r>
              <w:rPr>
                <w:rFonts w:hint="eastAsia" w:ascii="宋体" w:hAnsi="宋体"/>
                <w:bCs/>
                <w:szCs w:val="21"/>
              </w:rPr>
              <w:t>企业财务会计工作、涉税会计核算、纳税申报和纳税筹划等财务、税务管理工作</w:t>
            </w:r>
          </w:p>
        </w:tc>
        <w:tc>
          <w:tcPr>
            <w:tcW w:w="1870" w:type="dxa"/>
          </w:tcPr>
          <w:p>
            <w:pPr>
              <w:spacing w:line="400" w:lineRule="exact"/>
              <w:rPr>
                <w:rFonts w:ascii="宋体" w:hAnsi="宋体"/>
                <w:bCs/>
                <w:szCs w:val="21"/>
              </w:rPr>
            </w:pPr>
            <w:r>
              <w:rPr>
                <w:rFonts w:hint="eastAsia" w:ascii="宋体" w:hAnsi="宋体"/>
                <w:bCs/>
                <w:szCs w:val="21"/>
              </w:rPr>
              <w:t>初级会计职称</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2300"/>
        <w:gridCol w:w="2510"/>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2300"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510"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102" w:type="dxa"/>
            <w:shd w:val="clear" w:color="auto" w:fill="auto"/>
          </w:tcPr>
          <w:p>
            <w:pPr>
              <w:rPr>
                <w:rStyle w:val="7"/>
                <w:rFonts w:ascii="宋体" w:hAnsi="宋体"/>
                <w:b w:val="0"/>
                <w:szCs w:val="21"/>
              </w:rPr>
            </w:pPr>
            <w:r>
              <w:rPr>
                <w:rStyle w:val="7"/>
                <w:rFonts w:hint="eastAsia" w:ascii="宋体" w:hAnsi="宋体"/>
                <w:b w:val="0"/>
                <w:szCs w:val="21"/>
              </w:rPr>
              <w:t>1.企业、事业单位、社会团体的税务代理岗位</w:t>
            </w:r>
          </w:p>
        </w:tc>
        <w:tc>
          <w:tcPr>
            <w:tcW w:w="2300" w:type="dxa"/>
            <w:shd w:val="clear" w:color="auto" w:fill="auto"/>
          </w:tcPr>
          <w:p>
            <w:pPr>
              <w:spacing w:line="360" w:lineRule="auto"/>
              <w:rPr>
                <w:rFonts w:ascii="宋体" w:hAnsi="宋体" w:cs="Arial"/>
                <w:b/>
                <w:bCs/>
                <w:kern w:val="0"/>
                <w:szCs w:val="21"/>
              </w:rPr>
            </w:pPr>
            <w:r>
              <w:rPr>
                <w:rStyle w:val="7"/>
                <w:rFonts w:hint="eastAsia" w:ascii="宋体" w:hAnsi="宋体"/>
                <w:b w:val="0"/>
                <w:szCs w:val="21"/>
              </w:rPr>
              <w:t>考相关的专业证书，有一颗认真的负责心态。</w:t>
            </w:r>
          </w:p>
        </w:tc>
        <w:tc>
          <w:tcPr>
            <w:tcW w:w="2510" w:type="dxa"/>
            <w:shd w:val="clear" w:color="auto" w:fill="auto"/>
          </w:tcPr>
          <w:p>
            <w:pPr>
              <w:widowControl/>
              <w:spacing w:line="360" w:lineRule="auto"/>
              <w:jc w:val="left"/>
              <w:rPr>
                <w:rFonts w:ascii="宋体" w:hAnsi="宋体" w:cs="Arial"/>
                <w:b/>
                <w:bCs/>
                <w:kern w:val="0"/>
                <w:szCs w:val="21"/>
              </w:rPr>
            </w:pPr>
            <w:r>
              <w:rPr>
                <w:rStyle w:val="7"/>
                <w:rFonts w:hint="eastAsia" w:ascii="宋体" w:hAnsi="宋体"/>
                <w:b w:val="0"/>
                <w:szCs w:val="21"/>
              </w:rPr>
              <w:t>税务代理人必须通过委托人的授权，以委托人的名义从事税务事宜的代理。</w:t>
            </w:r>
          </w:p>
        </w:tc>
        <w:tc>
          <w:tcPr>
            <w:tcW w:w="1305" w:type="dxa"/>
            <w:shd w:val="clear" w:color="auto" w:fill="auto"/>
          </w:tcPr>
          <w:p>
            <w:pPr>
              <w:widowControl/>
              <w:spacing w:line="360" w:lineRule="auto"/>
              <w:jc w:val="left"/>
              <w:rPr>
                <w:rStyle w:val="7"/>
                <w:rFonts w:ascii="宋体" w:hAnsi="宋体"/>
                <w:b w:val="0"/>
                <w:szCs w:val="21"/>
              </w:rPr>
            </w:pPr>
            <w:r>
              <w:rPr>
                <w:rStyle w:val="7"/>
                <w:rFonts w:hint="eastAsia" w:ascii="宋体" w:hAnsi="宋体"/>
                <w:b w:val="0"/>
                <w:szCs w:val="21"/>
              </w:rPr>
              <w:t>税务管理</w:t>
            </w:r>
          </w:p>
        </w:tc>
        <w:tc>
          <w:tcPr>
            <w:tcW w:w="1703" w:type="dxa"/>
            <w:vMerge w:val="restart"/>
            <w:shd w:val="clear" w:color="auto" w:fill="auto"/>
          </w:tcPr>
          <w:p>
            <w:pPr>
              <w:widowControl/>
              <w:spacing w:line="360" w:lineRule="auto"/>
              <w:jc w:val="center"/>
              <w:rPr>
                <w:rFonts w:ascii="宋体" w:hAnsi="宋体" w:cs="Arial"/>
                <w:b/>
                <w:bCs/>
                <w:kern w:val="0"/>
                <w:szCs w:val="21"/>
              </w:rPr>
            </w:pPr>
            <w:r>
              <w:rPr>
                <w:rStyle w:val="7"/>
                <w:rFonts w:hint="eastAsia" w:ascii="宋体" w:hAnsi="宋体"/>
                <w:b w:val="0"/>
                <w:szCs w:val="21"/>
              </w:rPr>
              <w:t>税法、税务会计、税务管理、税务服务、纳税筹划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102" w:type="dxa"/>
            <w:shd w:val="clear" w:color="auto" w:fill="auto"/>
          </w:tcPr>
          <w:p>
            <w:pPr>
              <w:rPr>
                <w:rStyle w:val="7"/>
                <w:rFonts w:ascii="宋体" w:hAnsi="宋体"/>
                <w:b w:val="0"/>
                <w:szCs w:val="21"/>
              </w:rPr>
            </w:pPr>
            <w:r>
              <w:rPr>
                <w:rStyle w:val="7"/>
                <w:rFonts w:hint="eastAsia" w:ascii="宋体" w:hAnsi="宋体"/>
                <w:b w:val="0"/>
                <w:szCs w:val="21"/>
              </w:rPr>
              <w:t>2.税务师事务所、财务公司等税务中介机构的税务管理、税务稽查岗位</w:t>
            </w:r>
          </w:p>
        </w:tc>
        <w:tc>
          <w:tcPr>
            <w:tcW w:w="2300" w:type="dxa"/>
            <w:shd w:val="clear" w:color="auto" w:fill="auto"/>
          </w:tcPr>
          <w:p>
            <w:pPr>
              <w:pStyle w:val="14"/>
              <w:widowControl/>
              <w:spacing w:line="360" w:lineRule="auto"/>
              <w:ind w:firstLine="0" w:firstLineChars="0"/>
              <w:jc w:val="left"/>
              <w:rPr>
                <w:rFonts w:ascii="宋体" w:hAnsi="宋体" w:cs="Arial"/>
                <w:b/>
                <w:bCs/>
                <w:kern w:val="0"/>
                <w:szCs w:val="21"/>
              </w:rPr>
            </w:pPr>
            <w:r>
              <w:rPr>
                <w:rStyle w:val="7"/>
                <w:rFonts w:hint="eastAsia" w:ascii="宋体" w:hAnsi="宋体"/>
                <w:b w:val="0"/>
                <w:szCs w:val="21"/>
              </w:rPr>
              <w:t>考相关的专业证书，要有一颗求真的积极的态度。</w:t>
            </w:r>
          </w:p>
        </w:tc>
        <w:tc>
          <w:tcPr>
            <w:tcW w:w="2510" w:type="dxa"/>
            <w:shd w:val="clear" w:color="auto" w:fill="auto"/>
          </w:tcPr>
          <w:p>
            <w:pPr>
              <w:widowControl/>
              <w:spacing w:line="360" w:lineRule="auto"/>
              <w:jc w:val="left"/>
              <w:rPr>
                <w:rFonts w:ascii="宋体" w:hAnsi="宋体" w:cs="Arial"/>
                <w:b/>
                <w:bCs/>
                <w:kern w:val="0"/>
                <w:szCs w:val="21"/>
              </w:rPr>
            </w:pPr>
            <w:r>
              <w:rPr>
                <w:rStyle w:val="7"/>
                <w:rFonts w:hint="eastAsia" w:ascii="宋体" w:hAnsi="宋体"/>
                <w:b w:val="0"/>
                <w:szCs w:val="21"/>
              </w:rPr>
              <w:t>依法对纳税人的纳税情况进行检查监督</w:t>
            </w:r>
          </w:p>
        </w:tc>
        <w:tc>
          <w:tcPr>
            <w:tcW w:w="1305" w:type="dxa"/>
            <w:shd w:val="clear" w:color="auto" w:fill="auto"/>
          </w:tcPr>
          <w:p>
            <w:pPr>
              <w:pStyle w:val="14"/>
              <w:widowControl/>
              <w:spacing w:line="360" w:lineRule="auto"/>
              <w:ind w:firstLine="0" w:firstLineChars="0"/>
              <w:jc w:val="left"/>
              <w:rPr>
                <w:rStyle w:val="7"/>
                <w:rFonts w:ascii="宋体" w:hAnsi="宋体"/>
                <w:b w:val="0"/>
                <w:szCs w:val="21"/>
              </w:rPr>
            </w:pPr>
            <w:r>
              <w:rPr>
                <w:rStyle w:val="7"/>
                <w:rFonts w:hint="eastAsia" w:ascii="宋体" w:hAnsi="宋体"/>
                <w:b w:val="0"/>
                <w:szCs w:val="21"/>
              </w:rPr>
              <w:t>纳税检查</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2102" w:type="dxa"/>
            <w:shd w:val="clear" w:color="auto" w:fill="auto"/>
          </w:tcPr>
          <w:p>
            <w:pPr>
              <w:rPr>
                <w:rStyle w:val="7"/>
                <w:rFonts w:ascii="宋体" w:hAnsi="宋体"/>
                <w:b w:val="0"/>
                <w:szCs w:val="21"/>
              </w:rPr>
            </w:pPr>
            <w:r>
              <w:rPr>
                <w:rStyle w:val="7"/>
                <w:rFonts w:hint="eastAsia" w:ascii="宋体" w:hAnsi="宋体"/>
                <w:b w:val="0"/>
                <w:szCs w:val="21"/>
              </w:rPr>
              <w:t>3.企业、事务所的协税员、审计助理岗。</w:t>
            </w:r>
          </w:p>
        </w:tc>
        <w:tc>
          <w:tcPr>
            <w:tcW w:w="2300" w:type="dxa"/>
            <w:shd w:val="clear" w:color="auto" w:fill="auto"/>
          </w:tcPr>
          <w:p>
            <w:pPr>
              <w:rPr>
                <w:rStyle w:val="7"/>
                <w:rFonts w:ascii="宋体" w:hAnsi="宋体"/>
                <w:b w:val="0"/>
                <w:szCs w:val="21"/>
              </w:rPr>
            </w:pPr>
            <w:r>
              <w:rPr>
                <w:rStyle w:val="7"/>
                <w:rFonts w:hint="eastAsia" w:ascii="宋体" w:hAnsi="宋体"/>
                <w:b w:val="0"/>
                <w:szCs w:val="21"/>
              </w:rPr>
              <w:t>多去实践获取相关的计算和实操经验。</w:t>
            </w:r>
          </w:p>
        </w:tc>
        <w:tc>
          <w:tcPr>
            <w:tcW w:w="2510" w:type="dxa"/>
            <w:shd w:val="clear" w:color="auto" w:fill="auto"/>
          </w:tcPr>
          <w:p>
            <w:pPr>
              <w:rPr>
                <w:rStyle w:val="7"/>
                <w:rFonts w:ascii="宋体" w:hAnsi="宋体"/>
                <w:b w:val="0"/>
                <w:szCs w:val="21"/>
              </w:rPr>
            </w:pPr>
            <w:r>
              <w:rPr>
                <w:rStyle w:val="7"/>
                <w:rFonts w:hint="eastAsia" w:ascii="宋体" w:hAnsi="宋体"/>
                <w:b w:val="0"/>
                <w:szCs w:val="21"/>
              </w:rPr>
              <w:t>协助企业进行纳税的计算及缴纳的完成</w:t>
            </w:r>
          </w:p>
        </w:tc>
        <w:tc>
          <w:tcPr>
            <w:tcW w:w="1305" w:type="dxa"/>
            <w:shd w:val="clear" w:color="auto" w:fill="auto"/>
          </w:tcPr>
          <w:p>
            <w:pPr>
              <w:widowControl/>
              <w:spacing w:line="360" w:lineRule="auto"/>
              <w:jc w:val="left"/>
              <w:rPr>
                <w:rStyle w:val="7"/>
                <w:rFonts w:ascii="宋体" w:hAnsi="宋体"/>
                <w:b w:val="0"/>
                <w:szCs w:val="21"/>
              </w:rPr>
            </w:pPr>
            <w:r>
              <w:rPr>
                <w:rStyle w:val="7"/>
                <w:rFonts w:hint="eastAsia" w:ascii="宋体" w:hAnsi="宋体"/>
                <w:b w:val="0"/>
                <w:szCs w:val="21"/>
              </w:rPr>
              <w:t>财务会计、税法</w:t>
            </w: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pPr>
      <w:r>
        <w:rPr>
          <w:rFonts w:hint="eastAsia"/>
        </w:rPr>
        <w:t>（1）总体目标</w:t>
      </w:r>
    </w:p>
    <w:p>
      <w:pPr>
        <w:spacing w:line="360" w:lineRule="auto"/>
        <w:ind w:firstLine="415" w:firstLineChars="198"/>
      </w:pPr>
      <w:r>
        <w:rPr>
          <w:rFonts w:hint="eastAsia"/>
        </w:rPr>
        <w:t>本专业培养学生成为德、智、体、美全面发展、具有一定职业素养和业务操作技能的应用型人才。使学生掌握税务、会计等方面的专业理论和技术技能，能够从事税务会计、税务管理、税务服务、纳税筹划等工作的高素质技能型人才。</w:t>
      </w:r>
    </w:p>
    <w:p>
      <w:pPr>
        <w:spacing w:line="360" w:lineRule="auto"/>
        <w:ind w:firstLine="415" w:firstLineChars="198"/>
      </w:pPr>
      <w:r>
        <w:rPr>
          <w:rFonts w:hint="eastAsia"/>
        </w:rPr>
        <w:t>（2）知识及素质目标</w:t>
      </w:r>
    </w:p>
    <w:p>
      <w:pPr>
        <w:spacing w:line="360" w:lineRule="auto"/>
        <w:ind w:firstLine="415" w:firstLineChars="198"/>
      </w:pPr>
      <w:r>
        <w:rPr>
          <w:rFonts w:hint="eastAsia"/>
        </w:rPr>
        <w:t>① 掌握必备的思想政治理论、科学文化基础知识和中华优秀传统文化知识。② 掌握军事理论、心理健康、毕业论文写作辅导、大学英语、计算机应用基础、形势与政策教育课、思想道德修养与法律基础、大学生就业指导等文化基础知识。③ 掌握会计核算、纳税申报、税务代理、税收筹划、税务咨询、税法、税务管理等税务专业知识。④掌握我国现行税收制度的相关知识，熟悉“互联网+”税务发展的现状和发展趋势。</w:t>
      </w:r>
    </w:p>
    <w:p>
      <w:pPr>
        <w:spacing w:line="360" w:lineRule="auto"/>
        <w:ind w:firstLine="415" w:firstLineChars="198"/>
      </w:pPr>
      <w:r>
        <w:rPr>
          <w:rFonts w:hint="eastAsia"/>
        </w:rPr>
        <w:t>（3）能力目标</w:t>
      </w:r>
    </w:p>
    <w:p>
      <w:pPr>
        <w:spacing w:line="360" w:lineRule="auto"/>
        <w:ind w:firstLine="415" w:firstLineChars="198"/>
        <w:rPr>
          <w:rFonts w:ascii="宋体" w:hAnsi="宋体" w:cs="Arial"/>
          <w:kern w:val="0"/>
          <w:szCs w:val="21"/>
        </w:rPr>
      </w:pPr>
      <w:r>
        <w:rPr>
          <w:rFonts w:hint="eastAsia"/>
        </w:rPr>
        <w:t>① 具备企业各种税费的计算和申报、编制企业所得税年度汇算清缴报告、进行纳税筹划等纳税申报及筹划能力。② 具备会计凭证填制与审核、账簿登记、报表编制等会计核算能力。③ 具备为企业进行税务代理和税务咨询的能力。④ 具有较强的计算机技术综合应用能力、良好的语言表达能力、沟通协调能力。⑤具有较强的税收信息检索、搜集、判断、分析和综合分析与应用能力，了解税务管理发展动态与行业要求。</w:t>
      </w:r>
    </w:p>
    <w:p>
      <w:pPr>
        <w:spacing w:line="360" w:lineRule="auto"/>
        <w:ind w:firstLine="417" w:firstLineChars="198"/>
        <w:rPr>
          <w:rFonts w:ascii="宋体" w:hAnsi="宋体"/>
          <w:b/>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numPr>
          <w:ilvl w:val="0"/>
          <w:numId w:val="1"/>
        </w:numPr>
        <w:spacing w:line="360" w:lineRule="auto"/>
        <w:ind w:firstLineChars="0"/>
        <w:rPr>
          <w:rFonts w:ascii="宋体" w:hAnsi="宋体"/>
          <w:szCs w:val="21"/>
        </w:rPr>
      </w:pPr>
      <w:r>
        <w:rPr>
          <w:rFonts w:hint="eastAsia" w:ascii="宋体" w:hAnsi="宋体"/>
          <w:szCs w:val="21"/>
        </w:rPr>
        <w:t>思想政治素质：坚定拥护中国共产党领导和我国社会主义制度，在习近平新时代中国特色社会主义思想指引下，践行社会主义核心价值观，具有深厚的爱国情感和中华民族自豪感。崇尚宪法、遵法守纪、崇德向善、诚实守信、尊重生命、热爱劳动，履行道德准则和行为规范，具有社会责任感和社会参与意识。</w:t>
      </w:r>
    </w:p>
    <w:p>
      <w:pPr>
        <w:pStyle w:val="14"/>
        <w:numPr>
          <w:ilvl w:val="0"/>
          <w:numId w:val="1"/>
        </w:numPr>
        <w:spacing w:line="360" w:lineRule="auto"/>
        <w:ind w:firstLineChars="0"/>
        <w:rPr>
          <w:rFonts w:ascii="宋体" w:hAnsi="宋体"/>
          <w:szCs w:val="21"/>
        </w:rPr>
      </w:pPr>
      <w:r>
        <w:rPr>
          <w:rFonts w:hint="eastAsia" w:ascii="宋体" w:hAnsi="宋体"/>
          <w:szCs w:val="21"/>
        </w:rPr>
        <w:t>文化素质：培养学生的质量意识、环保意识、安全意识、科学素养、信息素养、工匠精神、创新思维，提高专业知识文化素养。</w:t>
      </w:r>
    </w:p>
    <w:p>
      <w:pPr>
        <w:pStyle w:val="14"/>
        <w:numPr>
          <w:ilvl w:val="0"/>
          <w:numId w:val="1"/>
        </w:numPr>
        <w:spacing w:line="360" w:lineRule="auto"/>
        <w:ind w:firstLineChars="0"/>
        <w:rPr>
          <w:rFonts w:ascii="宋体" w:hAnsi="宋体"/>
          <w:szCs w:val="21"/>
        </w:rPr>
      </w:pPr>
      <w:r>
        <w:rPr>
          <w:rFonts w:hint="eastAsia" w:ascii="宋体" w:hAnsi="宋体"/>
          <w:szCs w:val="21"/>
        </w:rPr>
        <w:t>职业素质：勇于奋斗、乐观向上，具有自我管理能力、职业生涯规划的意识，有较强的集体意识和团队合作精神。</w:t>
      </w:r>
    </w:p>
    <w:p>
      <w:pPr>
        <w:pStyle w:val="14"/>
        <w:numPr>
          <w:ilvl w:val="0"/>
          <w:numId w:val="1"/>
        </w:numPr>
        <w:spacing w:line="360" w:lineRule="auto"/>
        <w:ind w:firstLineChars="0"/>
        <w:rPr>
          <w:rFonts w:ascii="宋体" w:hAnsi="宋体"/>
          <w:szCs w:val="21"/>
        </w:rPr>
      </w:pPr>
      <w:r>
        <w:rPr>
          <w:rFonts w:hint="eastAsia" w:ascii="宋体" w:hAnsi="宋体"/>
          <w:szCs w:val="21"/>
        </w:rPr>
        <w:t>身心素质：具有健康的体魄，心理和健全的人格，掌握基本运动知识和运动技能，养成良好的健身与卫生习惯以及良好的行为习惯；具有一定的审美和素质，能够形成1-2项艺术特长。</w:t>
      </w:r>
    </w:p>
    <w:p>
      <w:pPr>
        <w:spacing w:line="400" w:lineRule="exact"/>
        <w:ind w:firstLine="316" w:firstLineChars="150"/>
        <w:rPr>
          <w:b/>
        </w:rPr>
      </w:pPr>
      <w:r>
        <w:rPr>
          <w:rFonts w:hint="eastAsia"/>
          <w:b/>
        </w:rPr>
        <w:t xml:space="preserve">（二）知识 </w:t>
      </w:r>
    </w:p>
    <w:p>
      <w:pPr>
        <w:pStyle w:val="14"/>
        <w:numPr>
          <w:ilvl w:val="0"/>
          <w:numId w:val="1"/>
        </w:numPr>
        <w:spacing w:line="360" w:lineRule="auto"/>
        <w:ind w:firstLineChars="0"/>
        <w:rPr>
          <w:rFonts w:ascii="宋体" w:hAnsi="宋体"/>
          <w:szCs w:val="21"/>
        </w:rPr>
      </w:pPr>
      <w:r>
        <w:rPr>
          <w:rFonts w:hint="eastAsia" w:ascii="宋体" w:hAnsi="宋体"/>
          <w:szCs w:val="21"/>
        </w:rPr>
        <w:t>掌握本专业培养目标所要求的会计核算、纳税申报、税务代理、税收筹划、税务咨询、税法、税务管理等基础理论知识、专业知识和技能。</w:t>
      </w:r>
    </w:p>
    <w:p>
      <w:pPr>
        <w:pStyle w:val="14"/>
        <w:numPr>
          <w:ilvl w:val="0"/>
          <w:numId w:val="1"/>
        </w:numPr>
        <w:spacing w:line="360" w:lineRule="auto"/>
        <w:ind w:firstLineChars="0"/>
        <w:rPr>
          <w:rFonts w:ascii="宋体" w:hAnsi="宋体"/>
          <w:szCs w:val="21"/>
        </w:rPr>
      </w:pPr>
      <w:r>
        <w:rPr>
          <w:rFonts w:hint="eastAsia" w:ascii="宋体" w:hAnsi="宋体"/>
          <w:szCs w:val="21"/>
        </w:rPr>
        <w:t>具备必备的思想政治理论、科学文化基础知识和中华优秀传统文化知识的能力。</w:t>
      </w:r>
    </w:p>
    <w:p>
      <w:pPr>
        <w:pStyle w:val="14"/>
        <w:numPr>
          <w:ilvl w:val="0"/>
          <w:numId w:val="1"/>
        </w:numPr>
        <w:spacing w:line="360" w:lineRule="auto"/>
        <w:ind w:firstLineChars="0"/>
        <w:rPr>
          <w:rFonts w:ascii="宋体" w:hAnsi="宋体"/>
          <w:szCs w:val="21"/>
        </w:rPr>
      </w:pPr>
      <w:r>
        <w:rPr>
          <w:rFonts w:hint="eastAsia" w:ascii="宋体" w:hAnsi="宋体"/>
          <w:szCs w:val="21"/>
        </w:rPr>
        <w:t>掌握军事理论、心理健康、毕业论文写作辅导、大学英语、计算机应用基础、形势与政策教育课、思想道德修养与法律基础、大学生就业指导等文化基础知识。</w:t>
      </w:r>
    </w:p>
    <w:p>
      <w:pPr>
        <w:pStyle w:val="14"/>
        <w:numPr>
          <w:ilvl w:val="0"/>
          <w:numId w:val="1"/>
        </w:numPr>
        <w:spacing w:line="360" w:lineRule="auto"/>
        <w:ind w:firstLineChars="0"/>
        <w:rPr>
          <w:b/>
        </w:rPr>
      </w:pPr>
      <w:r>
        <w:rPr>
          <w:rFonts w:hint="eastAsia" w:ascii="宋体" w:hAnsi="宋体"/>
          <w:szCs w:val="21"/>
        </w:rPr>
        <w:t>掌握我国现行税收制度的相关知识，熟悉“互联网+”税务发展的现状和发展趋势及专业技能。</w:t>
      </w:r>
    </w:p>
    <w:p>
      <w:pPr>
        <w:numPr>
          <w:ilvl w:val="0"/>
          <w:numId w:val="2"/>
        </w:numPr>
        <w:spacing w:line="360" w:lineRule="auto"/>
        <w:ind w:firstLine="316" w:firstLineChars="150"/>
        <w:rPr>
          <w:b/>
        </w:rPr>
      </w:pPr>
      <w:r>
        <w:rPr>
          <w:rFonts w:hint="eastAsia"/>
          <w:b/>
        </w:rPr>
        <w:t>能力</w:t>
      </w:r>
    </w:p>
    <w:p>
      <w:pPr>
        <w:numPr>
          <w:ilvl w:val="0"/>
          <w:numId w:val="3"/>
        </w:numPr>
        <w:spacing w:line="360" w:lineRule="auto"/>
        <w:ind w:firstLine="415" w:firstLineChars="198"/>
        <w:rPr>
          <w:rFonts w:ascii="宋体" w:hAnsi="宋体"/>
          <w:szCs w:val="21"/>
        </w:rPr>
      </w:pPr>
      <w:r>
        <w:rPr>
          <w:rFonts w:hint="eastAsia" w:ascii="宋体" w:hAnsi="宋体"/>
          <w:szCs w:val="21"/>
        </w:rPr>
        <w:t>具备企业各种税费的计算和申报、编制企业所得税年度汇算清缴报告、进行纳税筹划等纳税申报及筹划能力。</w:t>
      </w:r>
    </w:p>
    <w:p>
      <w:pPr>
        <w:numPr>
          <w:ilvl w:val="0"/>
          <w:numId w:val="3"/>
        </w:numPr>
        <w:spacing w:line="360" w:lineRule="auto"/>
        <w:ind w:firstLine="415" w:firstLineChars="198"/>
        <w:rPr>
          <w:rFonts w:ascii="宋体" w:hAnsi="宋体"/>
          <w:b/>
          <w:szCs w:val="21"/>
        </w:rPr>
      </w:pPr>
      <w:r>
        <w:rPr>
          <w:rFonts w:hint="eastAsia" w:ascii="宋体" w:hAnsi="宋体"/>
          <w:szCs w:val="21"/>
        </w:rPr>
        <w:t>具备会计凭证填制与审核、账簿登记、报表编制等会计核算能力。</w:t>
      </w:r>
    </w:p>
    <w:p>
      <w:pPr>
        <w:numPr>
          <w:ilvl w:val="0"/>
          <w:numId w:val="3"/>
        </w:numPr>
        <w:spacing w:line="360" w:lineRule="auto"/>
        <w:ind w:firstLine="415" w:firstLineChars="198"/>
        <w:rPr>
          <w:rFonts w:ascii="宋体" w:hAnsi="宋体"/>
          <w:b/>
          <w:szCs w:val="21"/>
        </w:rPr>
      </w:pPr>
      <w:r>
        <w:rPr>
          <w:rFonts w:hint="eastAsia" w:ascii="宋体" w:hAnsi="宋体"/>
          <w:szCs w:val="21"/>
        </w:rPr>
        <w:t>具备为企业进行税务代理和税务咨询的能力。</w:t>
      </w:r>
    </w:p>
    <w:p>
      <w:pPr>
        <w:numPr>
          <w:ilvl w:val="0"/>
          <w:numId w:val="3"/>
        </w:numPr>
        <w:spacing w:line="360" w:lineRule="auto"/>
        <w:ind w:firstLine="415" w:firstLineChars="198"/>
        <w:rPr>
          <w:rFonts w:ascii="宋体" w:hAnsi="宋体"/>
          <w:b/>
          <w:szCs w:val="21"/>
        </w:rPr>
      </w:pPr>
      <w:r>
        <w:rPr>
          <w:rFonts w:hint="eastAsia" w:ascii="宋体" w:hAnsi="宋体"/>
          <w:szCs w:val="21"/>
        </w:rPr>
        <w:t>具有较强的计算机技术综合应用能力、良好的语言表达能力、沟通协调能力。</w:t>
      </w:r>
    </w:p>
    <w:p>
      <w:pPr>
        <w:numPr>
          <w:ilvl w:val="0"/>
          <w:numId w:val="3"/>
        </w:numPr>
        <w:spacing w:line="360" w:lineRule="auto"/>
        <w:ind w:firstLine="415" w:firstLineChars="198"/>
        <w:rPr>
          <w:rFonts w:ascii="宋体" w:hAnsi="宋体"/>
          <w:b/>
          <w:szCs w:val="21"/>
        </w:rPr>
      </w:pPr>
      <w:r>
        <w:rPr>
          <w:rFonts w:hint="eastAsia" w:ascii="宋体" w:hAnsi="宋体"/>
          <w:szCs w:val="21"/>
        </w:rPr>
        <w:t>具有较强的税收信息检索、搜集、判断、分析和综合分析与应用能力。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ascii="宋体" w:hAnsi="宋体"/>
          <w:szCs w:val="21"/>
        </w:rPr>
        <w:t>148</w:t>
      </w:r>
      <w:r>
        <w:rPr>
          <w:rFonts w:hint="eastAsia" w:ascii="宋体" w:hAnsi="宋体"/>
          <w:szCs w:val="21"/>
        </w:rPr>
        <w:t>学分，必修学分</w:t>
      </w:r>
      <w:r>
        <w:rPr>
          <w:rFonts w:ascii="宋体" w:hAnsi="宋体"/>
          <w:szCs w:val="21"/>
        </w:rPr>
        <w:t>112</w:t>
      </w:r>
      <w:r>
        <w:rPr>
          <w:rFonts w:hint="eastAsia" w:ascii="宋体" w:hAnsi="宋体"/>
          <w:szCs w:val="21"/>
        </w:rPr>
        <w:t>学分，选修学分不低于</w:t>
      </w:r>
      <w:r>
        <w:rPr>
          <w:rFonts w:ascii="宋体" w:hAnsi="宋体"/>
          <w:szCs w:val="21"/>
        </w:rPr>
        <w:t>36</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ascii="宋体" w:hAnsi="宋体"/>
          <w:szCs w:val="21"/>
        </w:rPr>
        <w:t>15</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初级会计职业资格证书</w:t>
            </w:r>
          </w:p>
        </w:tc>
        <w:tc>
          <w:tcPr>
            <w:tcW w:w="6260" w:type="dxa"/>
          </w:tcPr>
          <w:p>
            <w:pPr>
              <w:spacing w:line="360" w:lineRule="auto"/>
              <w:rPr>
                <w:rFonts w:ascii="宋体" w:hAnsi="宋体"/>
                <w:szCs w:val="21"/>
              </w:rPr>
            </w:pPr>
            <w:r>
              <w:rPr>
                <w:rFonts w:hint="eastAsia" w:ascii="宋体" w:hAnsi="宋体"/>
                <w:szCs w:val="21"/>
              </w:rPr>
              <w:t>取得可替换2学分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ascii="宋体" w:hAnsi="宋体"/>
          <w:szCs w:val="21"/>
        </w:rPr>
      </w:pPr>
      <w:r>
        <w:rPr>
          <w:rFonts w:hint="eastAsia" w:ascii="宋体" w:hAnsi="宋体"/>
          <w:szCs w:val="21"/>
        </w:rPr>
        <w:t>(1) 计算机应用能力：获得全国计算机等级考试一级合格证书，或通过学校组织的计算机应用能力测试。英语应用能力：获得全国英语等级考试A级或B级证书，或通过学校组织的英语应用能力测试。至少取得1项职业资格证书或职业技能证书。</w:t>
      </w:r>
    </w:p>
    <w:p>
      <w:pPr>
        <w:adjustRightInd w:val="0"/>
        <w:snapToGrid w:val="0"/>
        <w:spacing w:line="360" w:lineRule="auto"/>
        <w:ind w:firstLine="525" w:firstLineChars="250"/>
        <w:rPr>
          <w:rFonts w:ascii="宋体" w:hAnsi="宋体"/>
          <w:szCs w:val="21"/>
        </w:rPr>
      </w:pPr>
      <w:r>
        <w:rPr>
          <w:rFonts w:hint="eastAsia" w:ascii="宋体" w:hAnsi="宋体"/>
          <w:szCs w:val="21"/>
        </w:rPr>
        <w:t>(2) 具备投融资管理、纳税管理、财务分析、会计业务处理、企业涉税业务处理和税收筹划等专业技能。</w:t>
      </w:r>
    </w:p>
    <w:p>
      <w:pPr>
        <w:adjustRightInd w:val="0"/>
        <w:snapToGrid w:val="0"/>
        <w:spacing w:line="360" w:lineRule="auto"/>
        <w:ind w:firstLine="525" w:firstLineChars="250"/>
        <w:rPr>
          <w:rFonts w:ascii="宋体" w:hAnsi="宋体"/>
          <w:szCs w:val="21"/>
        </w:rPr>
      </w:pPr>
      <w:r>
        <w:rPr>
          <w:rFonts w:hint="eastAsia" w:ascii="宋体" w:hAnsi="宋体"/>
          <w:szCs w:val="21"/>
        </w:rPr>
        <w:t>职业资格证书：会计专业技术资格（初级）。</w:t>
      </w:r>
    </w:p>
    <w:p>
      <w:pPr>
        <w:adjustRightInd w:val="0"/>
        <w:snapToGrid w:val="0"/>
        <w:spacing w:line="360" w:lineRule="auto"/>
        <w:ind w:firstLine="525" w:firstLineChars="250"/>
        <w:rPr>
          <w:rFonts w:ascii="宋体" w:hAnsi="宋体"/>
          <w:szCs w:val="21"/>
        </w:rPr>
      </w:pPr>
      <w:r>
        <w:rPr>
          <w:rFonts w:hint="eastAsia" w:ascii="宋体" w:hAnsi="宋体"/>
          <w:szCs w:val="21"/>
        </w:rPr>
        <w:t>职业技能等级证书:财务共享服务初级证书（初级）、健康财富规划证书。</w:t>
      </w:r>
    </w:p>
    <w:p>
      <w:pPr>
        <w:adjustRightInd w:val="0"/>
        <w:snapToGrid w:val="0"/>
        <w:spacing w:line="360" w:lineRule="auto"/>
        <w:ind w:firstLine="527" w:firstLineChars="250"/>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4"/>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spacing w:line="400" w:lineRule="exact"/>
        <w:ind w:firstLine="42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专业课一般包括专业基础课程、专业核心课程、专业拓展课程，并涵盖有关实践性教学环节。</w:t>
      </w:r>
    </w:p>
    <w:p>
      <w:pPr>
        <w:spacing w:line="400" w:lineRule="exact"/>
        <w:ind w:firstLine="420"/>
        <w:rPr>
          <w:rFonts w:ascii="宋体" w:hAnsi="宋体"/>
          <w:bCs/>
          <w:szCs w:val="21"/>
        </w:rPr>
      </w:pPr>
      <w:r>
        <w:rPr>
          <w:rFonts w:hint="eastAsia" w:ascii="宋体" w:hAnsi="宋体"/>
          <w:bCs/>
          <w:szCs w:val="21"/>
        </w:rPr>
        <w:t>专业基础课程举例：税收概论、基础会计等。</w:t>
      </w:r>
    </w:p>
    <w:p>
      <w:pPr>
        <w:spacing w:line="360" w:lineRule="auto"/>
        <w:ind w:firstLine="420" w:firstLineChars="200"/>
        <w:rPr>
          <w:rFonts w:ascii="宋体" w:hAnsi="宋体"/>
          <w:bCs/>
          <w:szCs w:val="21"/>
        </w:rPr>
      </w:pPr>
      <w:r>
        <w:rPr>
          <w:rFonts w:hint="eastAsia" w:ascii="宋体" w:hAnsi="宋体"/>
          <w:bCs/>
          <w:szCs w:val="21"/>
        </w:rPr>
        <w:t>专业核心课程举例：税法、中级财务会计、税收会计、纳税检查、税务管理、税收筹划等。</w:t>
      </w:r>
    </w:p>
    <w:p>
      <w:pPr>
        <w:spacing w:line="400" w:lineRule="exact"/>
        <w:ind w:firstLine="420"/>
        <w:rPr>
          <w:rFonts w:ascii="宋体" w:hAnsi="宋体"/>
          <w:bCs/>
          <w:szCs w:val="21"/>
        </w:rPr>
      </w:pPr>
      <w:r>
        <w:rPr>
          <w:rFonts w:hint="eastAsia" w:ascii="宋体" w:hAnsi="宋体"/>
          <w:bCs/>
          <w:szCs w:val="21"/>
        </w:rPr>
        <w:t>专业拓展课举例：审计学基础和实务、</w:t>
      </w:r>
      <w:r>
        <w:rPr>
          <w:rFonts w:ascii="宋体" w:hAnsi="宋体"/>
          <w:bCs/>
          <w:szCs w:val="21"/>
        </w:rPr>
        <w:t>python</w:t>
      </w:r>
      <w:r>
        <w:rPr>
          <w:rFonts w:hint="eastAsia" w:ascii="宋体" w:hAnsi="宋体"/>
          <w:bCs/>
          <w:szCs w:val="21"/>
        </w:rPr>
        <w:t>等。</w:t>
      </w:r>
    </w:p>
    <w:p>
      <w:pPr>
        <w:spacing w:line="400" w:lineRule="exact"/>
        <w:ind w:firstLine="420" w:firstLineChars="200"/>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税法</w:t>
            </w:r>
          </w:p>
        </w:tc>
        <w:tc>
          <w:tcPr>
            <w:tcW w:w="6538" w:type="dxa"/>
          </w:tcPr>
          <w:p>
            <w:pPr>
              <w:spacing w:line="360" w:lineRule="exact"/>
              <w:rPr>
                <w:rFonts w:ascii="宋体" w:hAnsi="宋体"/>
                <w:bCs/>
                <w:sz w:val="18"/>
                <w:szCs w:val="18"/>
              </w:rPr>
            </w:pPr>
            <w:r>
              <w:rPr>
                <w:rFonts w:hint="eastAsia" w:ascii="宋体" w:hAnsi="宋体"/>
                <w:bCs/>
                <w:sz w:val="18"/>
                <w:szCs w:val="18"/>
              </w:rPr>
              <w:t>要求学生通过本课程的学习，熟悉掌握税收法律法规，能够熟练地确定经济业务中缴纳的税种，能够掌握每一个税种的具体要素的规定，能够准确的计算企业经济业务涉及的税种的应纳税额，能够根据计算出的税款按时填报纳税申报表。课程主要讲授税法概述以及我国税法体系中的实体税种的要素规定及税额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税收会计</w:t>
            </w:r>
          </w:p>
        </w:tc>
        <w:tc>
          <w:tcPr>
            <w:tcW w:w="6538" w:type="dxa"/>
          </w:tcPr>
          <w:p>
            <w:pPr>
              <w:spacing w:line="360" w:lineRule="exact"/>
              <w:rPr>
                <w:rFonts w:ascii="宋体" w:hAnsi="宋体"/>
                <w:bCs/>
                <w:sz w:val="18"/>
                <w:szCs w:val="18"/>
              </w:rPr>
            </w:pPr>
            <w:r>
              <w:rPr>
                <w:rFonts w:hint="eastAsia" w:ascii="宋体" w:hAnsi="宋体"/>
                <w:bCs/>
                <w:sz w:val="18"/>
                <w:szCs w:val="18"/>
              </w:rPr>
              <w:t>要求学生按照我国税法和税收征管条例，正确计算和缴纳税款，做到不重不漏，准确无误，并且还要掌握如何进行纳税申报，如何调整税基计算税款，如何进行缴税，以及如何进行会计处理。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中级财务会计</w:t>
            </w:r>
          </w:p>
        </w:tc>
        <w:tc>
          <w:tcPr>
            <w:tcW w:w="6538" w:type="dxa"/>
          </w:tcPr>
          <w:p>
            <w:pPr>
              <w:spacing w:line="360" w:lineRule="exact"/>
              <w:rPr>
                <w:rFonts w:ascii="宋体" w:hAnsi="宋体"/>
                <w:sz w:val="18"/>
                <w:szCs w:val="18"/>
              </w:rPr>
            </w:pPr>
            <w:r>
              <w:rPr>
                <w:rFonts w:hint="eastAsia" w:ascii="宋体" w:hAnsi="宋体"/>
                <w:sz w:val="18"/>
                <w:szCs w:val="18"/>
              </w:rPr>
              <w:t>要求学生了解财务会计的基本理论体系构成;掌握财务会计要素确认、计量、记录的规则、程序和方法以及财务会计报告的内容、编制和分析方法。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纳税检查</w:t>
            </w:r>
          </w:p>
        </w:tc>
        <w:tc>
          <w:tcPr>
            <w:tcW w:w="6538" w:type="dxa"/>
          </w:tcPr>
          <w:p>
            <w:pPr>
              <w:spacing w:line="360" w:lineRule="exact"/>
              <w:rPr>
                <w:rFonts w:ascii="宋体" w:hAnsi="宋体"/>
                <w:bCs/>
                <w:sz w:val="18"/>
                <w:szCs w:val="18"/>
              </w:rPr>
            </w:pPr>
            <w:r>
              <w:rPr>
                <w:rFonts w:hint="eastAsia" w:ascii="宋体" w:hAnsi="宋体"/>
                <w:bCs/>
                <w:sz w:val="18"/>
                <w:szCs w:val="18"/>
              </w:rPr>
              <w:t xml:space="preserve">要求学生掌握纳税检查的方法、步骤，对企业存在的涉税问题进行分析，并且采用大量的案例加深学生对稽查理论和方法的理解，提高学生的实务操作水平，对企业存在的问题和错误进行更正。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税务管理</w:t>
            </w:r>
          </w:p>
        </w:tc>
        <w:tc>
          <w:tcPr>
            <w:tcW w:w="6538" w:type="dxa"/>
          </w:tcPr>
          <w:p>
            <w:pPr>
              <w:spacing w:line="360" w:lineRule="exact"/>
              <w:rPr>
                <w:rFonts w:ascii="宋体" w:hAnsi="宋体"/>
                <w:bCs/>
                <w:sz w:val="18"/>
                <w:szCs w:val="18"/>
              </w:rPr>
            </w:pPr>
            <w:r>
              <w:rPr>
                <w:rFonts w:hint="eastAsia" w:ascii="宋体" w:hAnsi="宋体"/>
                <w:bCs/>
                <w:sz w:val="18"/>
                <w:szCs w:val="18"/>
              </w:rPr>
              <w:t>要求学生熟悉税务登记、变更登记、账簿和凭证管理、发票管理、纳税申报、税款征收、税源监控、纳税检查、税务违法行为及法律责任、纳税服务与风险管理、税务代理等方面的具体规定。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税收筹划</w:t>
            </w:r>
          </w:p>
        </w:tc>
        <w:tc>
          <w:tcPr>
            <w:tcW w:w="6538" w:type="dxa"/>
          </w:tcPr>
          <w:p>
            <w:pPr>
              <w:spacing w:line="360" w:lineRule="exact"/>
              <w:rPr>
                <w:rFonts w:ascii="宋体" w:hAnsi="宋体"/>
                <w:bCs/>
                <w:sz w:val="18"/>
                <w:szCs w:val="18"/>
              </w:rPr>
            </w:pPr>
            <w:r>
              <w:rPr>
                <w:rFonts w:hint="eastAsia" w:ascii="宋体" w:hAnsi="宋体"/>
                <w:bCs/>
                <w:sz w:val="18"/>
                <w:szCs w:val="18"/>
              </w:rPr>
              <w:t>要求学生以最新税收法律规定为税务筹划的政策依据，学习税收筹划的基本原理和在企业整体生产经营中各税种税务筹划的基本方法与技巧，为今后的涉税工作开启更广阔的思维空间和操作技能。</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ascii="宋体" w:hAnsi="宋体"/>
          <w:bCs/>
        </w:rPr>
        <w:t>2566</w:t>
      </w:r>
      <w:r>
        <w:rPr>
          <w:rFonts w:hint="eastAsia" w:ascii="宋体" w:hAnsi="宋体"/>
          <w:bCs/>
        </w:rPr>
        <w:t>学时，其中实践性教学学时为</w:t>
      </w:r>
      <w:r>
        <w:rPr>
          <w:rFonts w:ascii="宋体" w:hAnsi="宋体"/>
          <w:bCs/>
        </w:rPr>
        <w:t>1300</w:t>
      </w:r>
      <w:r>
        <w:rPr>
          <w:rFonts w:hint="eastAsia" w:ascii="宋体" w:hAnsi="宋体"/>
          <w:bCs/>
        </w:rPr>
        <w:t>学时，占总学时的</w:t>
      </w:r>
      <w:r>
        <w:rPr>
          <w:rFonts w:ascii="宋体" w:hAnsi="宋体"/>
          <w:bCs/>
        </w:rPr>
        <w:t>50.66</w:t>
      </w:r>
      <w:r>
        <w:rPr>
          <w:rFonts w:hint="eastAsia" w:ascii="宋体" w:hAnsi="宋体"/>
          <w:bCs/>
        </w:rPr>
        <w:t>% 。其中，顶岗实习为6个月，约</w:t>
      </w:r>
      <w:r>
        <w:rPr>
          <w:rFonts w:ascii="宋体" w:hAnsi="宋体"/>
          <w:bCs/>
        </w:rPr>
        <w:t>252</w:t>
      </w:r>
      <w:r>
        <w:rPr>
          <w:rFonts w:hint="eastAsia" w:ascii="宋体" w:hAnsi="宋体"/>
          <w:bCs/>
        </w:rPr>
        <w:t>学时。</w:t>
      </w:r>
    </w:p>
    <w:tbl>
      <w:tblPr>
        <w:tblStyle w:val="5"/>
        <w:tblW w:w="8640" w:type="dxa"/>
        <w:tblInd w:w="0" w:type="dxa"/>
        <w:tblLayout w:type="fixed"/>
        <w:tblCellMar>
          <w:top w:w="0" w:type="dxa"/>
          <w:left w:w="108" w:type="dxa"/>
          <w:bottom w:w="0" w:type="dxa"/>
          <w:right w:w="108" w:type="dxa"/>
        </w:tblCellMar>
      </w:tblPr>
      <w:tblGrid>
        <w:gridCol w:w="1091"/>
        <w:gridCol w:w="1786"/>
        <w:gridCol w:w="1437"/>
        <w:gridCol w:w="742"/>
        <w:gridCol w:w="1050"/>
        <w:gridCol w:w="742"/>
        <w:gridCol w:w="1050"/>
        <w:gridCol w:w="742"/>
      </w:tblGrid>
      <w:tr>
        <w:tblPrEx>
          <w:tblCellMar>
            <w:top w:w="0" w:type="dxa"/>
            <w:left w:w="108" w:type="dxa"/>
            <w:bottom w:w="0" w:type="dxa"/>
            <w:right w:w="108" w:type="dxa"/>
          </w:tblCellMar>
        </w:tblPrEx>
        <w:trPr>
          <w:trHeight w:val="315" w:hRule="atLeast"/>
        </w:trPr>
        <w:tc>
          <w:tcPr>
            <w:tcW w:w="8640" w:type="dxa"/>
            <w:gridSpan w:val="8"/>
            <w:tcBorders>
              <w:top w:val="nil"/>
              <w:left w:val="nil"/>
              <w:bottom w:val="nil"/>
              <w:right w:val="nil"/>
            </w:tcBorders>
            <w:shd w:val="clear" w:color="auto" w:fill="auto"/>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c>
      </w:tr>
      <w:tr>
        <w:tblPrEx>
          <w:tblCellMar>
            <w:top w:w="0" w:type="dxa"/>
            <w:left w:w="108" w:type="dxa"/>
            <w:bottom w:w="0" w:type="dxa"/>
            <w:right w:w="108" w:type="dxa"/>
          </w:tblCellMar>
        </w:tblPrEx>
        <w:trPr>
          <w:trHeight w:val="570" w:hRule="atLeast"/>
        </w:trPr>
        <w:tc>
          <w:tcPr>
            <w:tcW w:w="43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74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74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学分</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74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285" w:hRule="atLeast"/>
        </w:trPr>
        <w:tc>
          <w:tcPr>
            <w:tcW w:w="10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17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42" w:type="dxa"/>
            <w:tcBorders>
              <w:top w:val="nil"/>
              <w:left w:val="nil"/>
              <w:bottom w:val="single" w:color="auto" w:sz="4" w:space="0"/>
              <w:right w:val="single" w:color="auto" w:sz="4" w:space="0"/>
            </w:tcBorders>
            <w:shd w:val="clear" w:color="auto" w:fill="auto"/>
          </w:tcPr>
          <w:p>
            <w:r>
              <w:t>316</w:t>
            </w:r>
          </w:p>
        </w:tc>
        <w:tc>
          <w:tcPr>
            <w:tcW w:w="1050" w:type="dxa"/>
            <w:tcBorders>
              <w:top w:val="nil"/>
              <w:left w:val="nil"/>
              <w:bottom w:val="single" w:color="auto" w:sz="4" w:space="0"/>
              <w:right w:val="single" w:color="auto" w:sz="4" w:space="0"/>
            </w:tcBorders>
            <w:shd w:val="clear" w:color="auto" w:fill="auto"/>
          </w:tcPr>
          <w:p>
            <w:r>
              <w:t>12.31%</w:t>
            </w:r>
          </w:p>
        </w:tc>
        <w:tc>
          <w:tcPr>
            <w:tcW w:w="742" w:type="dxa"/>
            <w:tcBorders>
              <w:top w:val="nil"/>
              <w:left w:val="nil"/>
              <w:bottom w:val="single" w:color="auto" w:sz="4" w:space="0"/>
              <w:right w:val="single" w:color="auto" w:sz="4" w:space="0"/>
            </w:tcBorders>
            <w:shd w:val="clear" w:color="auto" w:fill="auto"/>
          </w:tcPr>
          <w:p>
            <w:r>
              <w:t>22</w:t>
            </w:r>
          </w:p>
        </w:tc>
        <w:tc>
          <w:tcPr>
            <w:tcW w:w="1050" w:type="dxa"/>
            <w:tcBorders>
              <w:top w:val="nil"/>
              <w:left w:val="nil"/>
              <w:bottom w:val="single" w:color="auto" w:sz="4" w:space="0"/>
              <w:right w:val="single" w:color="auto" w:sz="4" w:space="0"/>
            </w:tcBorders>
            <w:shd w:val="clear" w:color="auto" w:fill="auto"/>
          </w:tcPr>
          <w:p>
            <w:r>
              <w:t>14.86%</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8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42" w:type="dxa"/>
            <w:tcBorders>
              <w:top w:val="nil"/>
              <w:left w:val="nil"/>
              <w:bottom w:val="single" w:color="auto" w:sz="4" w:space="0"/>
              <w:right w:val="single" w:color="auto" w:sz="4" w:space="0"/>
            </w:tcBorders>
            <w:shd w:val="clear" w:color="auto" w:fill="auto"/>
          </w:tcPr>
          <w:p>
            <w:r>
              <w:t>420</w:t>
            </w:r>
          </w:p>
        </w:tc>
        <w:tc>
          <w:tcPr>
            <w:tcW w:w="1050" w:type="dxa"/>
            <w:tcBorders>
              <w:top w:val="nil"/>
              <w:left w:val="nil"/>
              <w:bottom w:val="single" w:color="auto" w:sz="4" w:space="0"/>
              <w:right w:val="single" w:color="auto" w:sz="4" w:space="0"/>
            </w:tcBorders>
            <w:shd w:val="clear" w:color="auto" w:fill="auto"/>
          </w:tcPr>
          <w:p>
            <w:r>
              <w:t>16.37%</w:t>
            </w:r>
          </w:p>
        </w:tc>
        <w:tc>
          <w:tcPr>
            <w:tcW w:w="742" w:type="dxa"/>
            <w:tcBorders>
              <w:top w:val="nil"/>
              <w:left w:val="nil"/>
              <w:bottom w:val="single" w:color="auto" w:sz="4" w:space="0"/>
              <w:right w:val="single" w:color="auto" w:sz="4" w:space="0"/>
            </w:tcBorders>
            <w:shd w:val="clear" w:color="auto" w:fill="auto"/>
          </w:tcPr>
          <w:p>
            <w:r>
              <w:t>20</w:t>
            </w:r>
          </w:p>
        </w:tc>
        <w:tc>
          <w:tcPr>
            <w:tcW w:w="1050" w:type="dxa"/>
            <w:tcBorders>
              <w:top w:val="nil"/>
              <w:left w:val="nil"/>
              <w:bottom w:val="single" w:color="auto" w:sz="4" w:space="0"/>
              <w:right w:val="single" w:color="auto" w:sz="4" w:space="0"/>
            </w:tcBorders>
            <w:shd w:val="clear" w:color="auto" w:fill="auto"/>
          </w:tcPr>
          <w:p>
            <w:r>
              <w:t>13.51%</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42" w:type="dxa"/>
            <w:tcBorders>
              <w:top w:val="nil"/>
              <w:left w:val="nil"/>
              <w:bottom w:val="single" w:color="auto" w:sz="4" w:space="0"/>
              <w:right w:val="single" w:color="auto" w:sz="4" w:space="0"/>
            </w:tcBorders>
            <w:shd w:val="clear" w:color="auto" w:fill="auto"/>
          </w:tcPr>
          <w:p>
            <w:r>
              <w:t>556</w:t>
            </w:r>
          </w:p>
        </w:tc>
        <w:tc>
          <w:tcPr>
            <w:tcW w:w="1050" w:type="dxa"/>
            <w:tcBorders>
              <w:top w:val="nil"/>
              <w:left w:val="nil"/>
              <w:bottom w:val="single" w:color="auto" w:sz="4" w:space="0"/>
              <w:right w:val="single" w:color="auto" w:sz="4" w:space="0"/>
            </w:tcBorders>
            <w:shd w:val="clear" w:color="auto" w:fill="auto"/>
          </w:tcPr>
          <w:p>
            <w:r>
              <w:t>21.67%</w:t>
            </w:r>
          </w:p>
        </w:tc>
        <w:tc>
          <w:tcPr>
            <w:tcW w:w="742" w:type="dxa"/>
            <w:tcBorders>
              <w:top w:val="nil"/>
              <w:left w:val="nil"/>
              <w:bottom w:val="single" w:color="auto" w:sz="4" w:space="0"/>
              <w:right w:val="single" w:color="auto" w:sz="4" w:space="0"/>
            </w:tcBorders>
            <w:shd w:val="clear" w:color="auto" w:fill="auto"/>
          </w:tcPr>
          <w:p>
            <w:r>
              <w:t>35</w:t>
            </w:r>
          </w:p>
        </w:tc>
        <w:tc>
          <w:tcPr>
            <w:tcW w:w="1050" w:type="dxa"/>
            <w:tcBorders>
              <w:top w:val="nil"/>
              <w:left w:val="nil"/>
              <w:bottom w:val="single" w:color="auto" w:sz="4" w:space="0"/>
              <w:right w:val="single" w:color="auto" w:sz="4" w:space="0"/>
            </w:tcBorders>
            <w:shd w:val="clear" w:color="auto" w:fill="auto"/>
          </w:tcPr>
          <w:p>
            <w:r>
              <w:t>23.65%</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8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42" w:type="dxa"/>
            <w:tcBorders>
              <w:top w:val="nil"/>
              <w:left w:val="nil"/>
              <w:bottom w:val="single" w:color="auto" w:sz="4" w:space="0"/>
              <w:right w:val="single" w:color="auto" w:sz="4" w:space="0"/>
            </w:tcBorders>
            <w:shd w:val="clear" w:color="auto" w:fill="auto"/>
          </w:tcPr>
          <w:p>
            <w:r>
              <w:t>632</w:t>
            </w:r>
          </w:p>
        </w:tc>
        <w:tc>
          <w:tcPr>
            <w:tcW w:w="1050" w:type="dxa"/>
            <w:tcBorders>
              <w:top w:val="nil"/>
              <w:left w:val="nil"/>
              <w:bottom w:val="single" w:color="auto" w:sz="4" w:space="0"/>
              <w:right w:val="single" w:color="auto" w:sz="4" w:space="0"/>
            </w:tcBorders>
            <w:shd w:val="clear" w:color="auto" w:fill="auto"/>
          </w:tcPr>
          <w:p>
            <w:r>
              <w:t>24.63%</w:t>
            </w:r>
          </w:p>
        </w:tc>
        <w:tc>
          <w:tcPr>
            <w:tcW w:w="742" w:type="dxa"/>
            <w:tcBorders>
              <w:top w:val="nil"/>
              <w:left w:val="nil"/>
              <w:bottom w:val="single" w:color="auto" w:sz="4" w:space="0"/>
              <w:right w:val="single" w:color="auto" w:sz="4" w:space="0"/>
            </w:tcBorders>
            <w:shd w:val="clear" w:color="auto" w:fill="auto"/>
          </w:tcPr>
          <w:p>
            <w:r>
              <w:t>35</w:t>
            </w:r>
          </w:p>
        </w:tc>
        <w:tc>
          <w:tcPr>
            <w:tcW w:w="1050" w:type="dxa"/>
            <w:tcBorders>
              <w:top w:val="nil"/>
              <w:left w:val="nil"/>
              <w:bottom w:val="single" w:color="auto" w:sz="4" w:space="0"/>
              <w:right w:val="single" w:color="auto" w:sz="4" w:space="0"/>
            </w:tcBorders>
            <w:shd w:val="clear" w:color="auto" w:fill="auto"/>
          </w:tcPr>
          <w:p>
            <w:r>
              <w:t>23.65%</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17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42" w:type="dxa"/>
            <w:tcBorders>
              <w:top w:val="nil"/>
              <w:left w:val="nil"/>
              <w:bottom w:val="single" w:color="auto" w:sz="4" w:space="0"/>
              <w:right w:val="single" w:color="auto" w:sz="4" w:space="0"/>
            </w:tcBorders>
            <w:shd w:val="clear" w:color="auto" w:fill="auto"/>
          </w:tcPr>
          <w:p>
            <w:r>
              <w:t>234</w:t>
            </w:r>
          </w:p>
        </w:tc>
        <w:tc>
          <w:tcPr>
            <w:tcW w:w="1050" w:type="dxa"/>
            <w:tcBorders>
              <w:top w:val="nil"/>
              <w:left w:val="nil"/>
              <w:bottom w:val="single" w:color="auto" w:sz="4" w:space="0"/>
              <w:right w:val="single" w:color="auto" w:sz="4" w:space="0"/>
            </w:tcBorders>
            <w:shd w:val="clear" w:color="auto" w:fill="auto"/>
          </w:tcPr>
          <w:p>
            <w:r>
              <w:t>9.12%</w:t>
            </w:r>
          </w:p>
        </w:tc>
        <w:tc>
          <w:tcPr>
            <w:tcW w:w="742" w:type="dxa"/>
            <w:tcBorders>
              <w:top w:val="nil"/>
              <w:left w:val="nil"/>
              <w:bottom w:val="single" w:color="auto" w:sz="4" w:space="0"/>
              <w:right w:val="single" w:color="auto" w:sz="4" w:space="0"/>
            </w:tcBorders>
            <w:shd w:val="clear" w:color="auto" w:fill="auto"/>
          </w:tcPr>
          <w:p>
            <w:r>
              <w:t>10</w:t>
            </w:r>
          </w:p>
        </w:tc>
        <w:tc>
          <w:tcPr>
            <w:tcW w:w="1050" w:type="dxa"/>
            <w:tcBorders>
              <w:top w:val="nil"/>
              <w:left w:val="nil"/>
              <w:bottom w:val="single" w:color="auto" w:sz="4" w:space="0"/>
              <w:right w:val="single" w:color="auto" w:sz="4" w:space="0"/>
            </w:tcBorders>
            <w:shd w:val="clear" w:color="auto" w:fill="auto"/>
          </w:tcPr>
          <w:p>
            <w:r>
              <w:t>6.76%</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8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42" w:type="dxa"/>
            <w:tcBorders>
              <w:top w:val="nil"/>
              <w:left w:val="nil"/>
              <w:bottom w:val="single" w:color="auto" w:sz="4" w:space="0"/>
              <w:right w:val="single" w:color="auto" w:sz="4" w:space="0"/>
            </w:tcBorders>
            <w:shd w:val="clear" w:color="auto" w:fill="auto"/>
          </w:tcPr>
          <w:p>
            <w:r>
              <w:t>120</w:t>
            </w:r>
          </w:p>
        </w:tc>
        <w:tc>
          <w:tcPr>
            <w:tcW w:w="1050" w:type="dxa"/>
            <w:tcBorders>
              <w:top w:val="nil"/>
              <w:left w:val="nil"/>
              <w:bottom w:val="single" w:color="auto" w:sz="4" w:space="0"/>
              <w:right w:val="single" w:color="auto" w:sz="4" w:space="0"/>
            </w:tcBorders>
            <w:shd w:val="clear" w:color="auto" w:fill="auto"/>
          </w:tcPr>
          <w:p>
            <w:r>
              <w:t>4.68%</w:t>
            </w:r>
          </w:p>
        </w:tc>
        <w:tc>
          <w:tcPr>
            <w:tcW w:w="742" w:type="dxa"/>
            <w:tcBorders>
              <w:top w:val="nil"/>
              <w:left w:val="nil"/>
              <w:bottom w:val="single" w:color="auto" w:sz="4" w:space="0"/>
              <w:right w:val="single" w:color="auto" w:sz="4" w:space="0"/>
            </w:tcBorders>
            <w:shd w:val="clear" w:color="auto" w:fill="auto"/>
          </w:tcPr>
          <w:p>
            <w:r>
              <w:t>10</w:t>
            </w:r>
          </w:p>
        </w:tc>
        <w:tc>
          <w:tcPr>
            <w:tcW w:w="1050" w:type="dxa"/>
            <w:tcBorders>
              <w:top w:val="nil"/>
              <w:left w:val="nil"/>
              <w:bottom w:val="single" w:color="auto" w:sz="4" w:space="0"/>
              <w:right w:val="single" w:color="auto" w:sz="4" w:space="0"/>
            </w:tcBorders>
            <w:shd w:val="clear" w:color="auto" w:fill="auto"/>
          </w:tcPr>
          <w:p>
            <w:r>
              <w:t>6.76%</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42" w:type="dxa"/>
            <w:tcBorders>
              <w:top w:val="nil"/>
              <w:left w:val="nil"/>
              <w:bottom w:val="single" w:color="auto" w:sz="4" w:space="0"/>
              <w:right w:val="single" w:color="auto" w:sz="4" w:space="0"/>
            </w:tcBorders>
            <w:shd w:val="clear" w:color="auto" w:fill="auto"/>
          </w:tcPr>
          <w:p>
            <w:r>
              <w:t>160</w:t>
            </w:r>
          </w:p>
        </w:tc>
        <w:tc>
          <w:tcPr>
            <w:tcW w:w="1050" w:type="dxa"/>
            <w:tcBorders>
              <w:top w:val="nil"/>
              <w:left w:val="nil"/>
              <w:bottom w:val="single" w:color="auto" w:sz="4" w:space="0"/>
              <w:right w:val="single" w:color="auto" w:sz="4" w:space="0"/>
            </w:tcBorders>
            <w:shd w:val="clear" w:color="auto" w:fill="auto"/>
          </w:tcPr>
          <w:p>
            <w:r>
              <w:t>6.24%</w:t>
            </w:r>
          </w:p>
        </w:tc>
        <w:tc>
          <w:tcPr>
            <w:tcW w:w="742" w:type="dxa"/>
            <w:tcBorders>
              <w:top w:val="nil"/>
              <w:left w:val="nil"/>
              <w:bottom w:val="single" w:color="auto" w:sz="4" w:space="0"/>
              <w:right w:val="single" w:color="auto" w:sz="4" w:space="0"/>
            </w:tcBorders>
            <w:shd w:val="clear" w:color="auto" w:fill="auto"/>
          </w:tcPr>
          <w:p>
            <w:r>
              <w:t>8</w:t>
            </w:r>
          </w:p>
        </w:tc>
        <w:tc>
          <w:tcPr>
            <w:tcW w:w="1050" w:type="dxa"/>
            <w:tcBorders>
              <w:top w:val="nil"/>
              <w:left w:val="nil"/>
              <w:bottom w:val="single" w:color="auto" w:sz="4" w:space="0"/>
              <w:right w:val="single" w:color="auto" w:sz="4" w:space="0"/>
            </w:tcBorders>
            <w:shd w:val="clear" w:color="auto" w:fill="auto"/>
          </w:tcPr>
          <w:p>
            <w:r>
              <w:t>5.41%</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8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42" w:type="dxa"/>
            <w:tcBorders>
              <w:top w:val="nil"/>
              <w:left w:val="nil"/>
              <w:bottom w:val="single" w:color="auto" w:sz="4" w:space="0"/>
              <w:right w:val="single" w:color="auto" w:sz="4" w:space="0"/>
            </w:tcBorders>
            <w:shd w:val="clear" w:color="auto" w:fill="auto"/>
          </w:tcPr>
          <w:p>
            <w:r>
              <w:t>128</w:t>
            </w:r>
          </w:p>
        </w:tc>
        <w:tc>
          <w:tcPr>
            <w:tcW w:w="1050" w:type="dxa"/>
            <w:tcBorders>
              <w:top w:val="nil"/>
              <w:left w:val="nil"/>
              <w:bottom w:val="single" w:color="auto" w:sz="4" w:space="0"/>
              <w:right w:val="single" w:color="auto" w:sz="4" w:space="0"/>
            </w:tcBorders>
            <w:shd w:val="clear" w:color="auto" w:fill="auto"/>
          </w:tcPr>
          <w:p>
            <w:r>
              <w:t>4.99%</w:t>
            </w:r>
          </w:p>
        </w:tc>
        <w:tc>
          <w:tcPr>
            <w:tcW w:w="742" w:type="dxa"/>
            <w:tcBorders>
              <w:top w:val="nil"/>
              <w:left w:val="nil"/>
              <w:bottom w:val="single" w:color="auto" w:sz="4" w:space="0"/>
              <w:right w:val="single" w:color="auto" w:sz="4" w:space="0"/>
            </w:tcBorders>
            <w:shd w:val="clear" w:color="auto" w:fill="auto"/>
          </w:tcPr>
          <w:p>
            <w:r>
              <w:t>8</w:t>
            </w:r>
          </w:p>
        </w:tc>
        <w:tc>
          <w:tcPr>
            <w:tcW w:w="1050" w:type="dxa"/>
            <w:tcBorders>
              <w:top w:val="nil"/>
              <w:left w:val="nil"/>
              <w:bottom w:val="single" w:color="auto" w:sz="4" w:space="0"/>
              <w:right w:val="single" w:color="auto" w:sz="4" w:space="0"/>
            </w:tcBorders>
            <w:shd w:val="clear" w:color="auto" w:fill="auto"/>
          </w:tcPr>
          <w:p>
            <w:r>
              <w:t>5.41%</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43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技能训练</w:t>
            </w:r>
          </w:p>
        </w:tc>
        <w:tc>
          <w:tcPr>
            <w:tcW w:w="742"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50"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742" w:type="dxa"/>
            <w:tcBorders>
              <w:top w:val="nil"/>
              <w:left w:val="nil"/>
              <w:bottom w:val="single" w:color="auto" w:sz="4" w:space="0"/>
              <w:right w:val="single" w:color="auto" w:sz="4" w:space="0"/>
            </w:tcBorders>
            <w:shd w:val="clear" w:color="auto" w:fill="auto"/>
          </w:tcPr>
          <w:p>
            <w:r>
              <w:t>0</w:t>
            </w:r>
          </w:p>
        </w:tc>
        <w:tc>
          <w:tcPr>
            <w:tcW w:w="1050" w:type="dxa"/>
            <w:tcBorders>
              <w:top w:val="nil"/>
              <w:left w:val="nil"/>
              <w:bottom w:val="single" w:color="auto" w:sz="4" w:space="0"/>
              <w:right w:val="single" w:color="auto" w:sz="4" w:space="0"/>
            </w:tcBorders>
            <w:shd w:val="clear" w:color="auto" w:fill="auto"/>
          </w:tcPr>
          <w:p>
            <w:r>
              <w:t>0.00%</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43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其他实践活动</w:t>
            </w:r>
          </w:p>
        </w:tc>
        <w:tc>
          <w:tcPr>
            <w:tcW w:w="742"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50"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742" w:type="dxa"/>
            <w:tcBorders>
              <w:top w:val="nil"/>
              <w:left w:val="nil"/>
              <w:bottom w:val="single" w:color="auto" w:sz="4" w:space="0"/>
              <w:right w:val="single" w:color="auto" w:sz="4" w:space="0"/>
            </w:tcBorders>
            <w:shd w:val="clear" w:color="auto" w:fill="auto"/>
          </w:tcPr>
          <w:p>
            <w:r>
              <w:t>0</w:t>
            </w:r>
          </w:p>
        </w:tc>
        <w:tc>
          <w:tcPr>
            <w:tcW w:w="1050" w:type="dxa"/>
            <w:tcBorders>
              <w:top w:val="nil"/>
              <w:left w:val="nil"/>
              <w:bottom w:val="single" w:color="auto" w:sz="4" w:space="0"/>
              <w:right w:val="single" w:color="auto" w:sz="4" w:space="0"/>
            </w:tcBorders>
            <w:shd w:val="clear" w:color="auto" w:fill="auto"/>
          </w:tcPr>
          <w:p>
            <w:r>
              <w:t>0.00%</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43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742"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50"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742" w:type="dxa"/>
            <w:tcBorders>
              <w:top w:val="nil"/>
              <w:left w:val="nil"/>
              <w:bottom w:val="single" w:color="auto" w:sz="4" w:space="0"/>
              <w:right w:val="single" w:color="auto" w:sz="4" w:space="0"/>
            </w:tcBorders>
            <w:shd w:val="clear" w:color="auto" w:fill="auto"/>
          </w:tcPr>
          <w:p>
            <w:r>
              <w:t>2566</w:t>
            </w:r>
          </w:p>
        </w:tc>
        <w:tc>
          <w:tcPr>
            <w:tcW w:w="1050" w:type="dxa"/>
            <w:tcBorders>
              <w:top w:val="nil"/>
              <w:left w:val="nil"/>
              <w:bottom w:val="single" w:color="auto" w:sz="4" w:space="0"/>
              <w:right w:val="single" w:color="auto" w:sz="4" w:space="0"/>
            </w:tcBorders>
            <w:shd w:val="clear" w:color="auto" w:fill="auto"/>
          </w:tcPr>
          <w:p>
            <w:r>
              <w:t>100.00%</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287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742"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50" w:type="dxa"/>
            <w:tcBorders>
              <w:top w:val="nil"/>
              <w:left w:val="nil"/>
              <w:bottom w:val="single" w:color="auto" w:sz="4" w:space="0"/>
              <w:right w:val="single" w:color="auto" w:sz="4" w:space="0"/>
            </w:tcBorders>
            <w:shd w:val="clear" w:color="auto" w:fill="auto"/>
          </w:tcPr>
          <w:p>
            <w:r>
              <w:t>1266</w:t>
            </w:r>
          </w:p>
        </w:tc>
        <w:tc>
          <w:tcPr>
            <w:tcW w:w="742" w:type="dxa"/>
            <w:tcBorders>
              <w:top w:val="nil"/>
              <w:left w:val="nil"/>
              <w:bottom w:val="single" w:color="auto" w:sz="4" w:space="0"/>
              <w:right w:val="single" w:color="auto" w:sz="4" w:space="0"/>
            </w:tcBorders>
            <w:shd w:val="clear" w:color="auto" w:fill="auto"/>
          </w:tcPr>
          <w:p>
            <w:r>
              <w:t>49.34%</w:t>
            </w:r>
          </w:p>
        </w:tc>
        <w:tc>
          <w:tcPr>
            <w:tcW w:w="1050" w:type="dxa"/>
            <w:tcBorders>
              <w:top w:val="nil"/>
              <w:left w:val="nil"/>
              <w:bottom w:val="single" w:color="auto" w:sz="4" w:space="0"/>
              <w:right w:val="single" w:color="auto" w:sz="4" w:space="0"/>
            </w:tcBorders>
            <w:shd w:val="clear" w:color="auto" w:fill="auto"/>
          </w:tcPr>
          <w:p>
            <w:r>
              <w:t>75</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28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3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742"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50" w:type="dxa"/>
            <w:tcBorders>
              <w:top w:val="nil"/>
              <w:left w:val="nil"/>
              <w:bottom w:val="single" w:color="auto" w:sz="4" w:space="0"/>
              <w:right w:val="single" w:color="auto" w:sz="4" w:space="0"/>
            </w:tcBorders>
            <w:shd w:val="clear" w:color="auto" w:fill="auto"/>
          </w:tcPr>
          <w:p>
            <w:r>
              <w:t>1300</w:t>
            </w:r>
          </w:p>
        </w:tc>
        <w:tc>
          <w:tcPr>
            <w:tcW w:w="742" w:type="dxa"/>
            <w:tcBorders>
              <w:top w:val="nil"/>
              <w:left w:val="nil"/>
              <w:bottom w:val="single" w:color="auto" w:sz="4" w:space="0"/>
              <w:right w:val="single" w:color="auto" w:sz="4" w:space="0"/>
            </w:tcBorders>
            <w:shd w:val="clear" w:color="auto" w:fill="auto"/>
          </w:tcPr>
          <w:p>
            <w:r>
              <w:t>50.66%</w:t>
            </w:r>
          </w:p>
        </w:tc>
        <w:tc>
          <w:tcPr>
            <w:tcW w:w="1050" w:type="dxa"/>
            <w:tcBorders>
              <w:top w:val="nil"/>
              <w:left w:val="nil"/>
              <w:bottom w:val="single" w:color="auto" w:sz="4" w:space="0"/>
              <w:right w:val="single" w:color="auto" w:sz="4" w:space="0"/>
            </w:tcBorders>
            <w:shd w:val="clear" w:color="auto" w:fill="auto"/>
          </w:tcPr>
          <w:p>
            <w:r>
              <w:t>73</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43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742"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50"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742" w:type="dxa"/>
            <w:tcBorders>
              <w:top w:val="nil"/>
              <w:left w:val="nil"/>
              <w:bottom w:val="single" w:color="auto" w:sz="4" w:space="0"/>
              <w:right w:val="single" w:color="auto" w:sz="4" w:space="0"/>
            </w:tcBorders>
            <w:shd w:val="clear" w:color="auto" w:fill="auto"/>
          </w:tcPr>
          <w:p>
            <w:r>
              <w:t>2566</w:t>
            </w:r>
          </w:p>
        </w:tc>
        <w:tc>
          <w:tcPr>
            <w:tcW w:w="1050" w:type="dxa"/>
            <w:tcBorders>
              <w:top w:val="nil"/>
              <w:left w:val="nil"/>
              <w:bottom w:val="single" w:color="auto" w:sz="4" w:space="0"/>
              <w:right w:val="single" w:color="auto" w:sz="4" w:space="0"/>
            </w:tcBorders>
            <w:shd w:val="clear" w:color="auto" w:fill="auto"/>
          </w:tcPr>
          <w:p>
            <w:r>
              <w:t>100.00%</w:t>
            </w:r>
          </w:p>
        </w:tc>
        <w:tc>
          <w:tcPr>
            <w:tcW w:w="742" w:type="dxa"/>
            <w:tcBorders>
              <w:top w:val="nil"/>
              <w:left w:val="nil"/>
              <w:bottom w:val="single" w:color="auto" w:sz="4" w:space="0"/>
              <w:right w:val="single" w:color="auto" w:sz="4" w:space="0"/>
            </w:tcBorders>
            <w:shd w:val="clear" w:color="auto" w:fill="auto"/>
          </w:tcPr>
          <w:p/>
        </w:tc>
      </w:tr>
      <w:tr>
        <w:tblPrEx>
          <w:tblCellMar>
            <w:top w:w="0" w:type="dxa"/>
            <w:left w:w="108" w:type="dxa"/>
            <w:bottom w:w="0" w:type="dxa"/>
            <w:right w:w="108" w:type="dxa"/>
          </w:tblCellMar>
        </w:tblPrEx>
        <w:trPr>
          <w:trHeight w:val="285" w:hRule="atLeast"/>
        </w:trPr>
        <w:tc>
          <w:tcPr>
            <w:tcW w:w="1091" w:type="dxa"/>
            <w:tcBorders>
              <w:top w:val="nil"/>
              <w:left w:val="nil"/>
              <w:bottom w:val="nil"/>
              <w:right w:val="nil"/>
            </w:tcBorders>
            <w:shd w:val="clear" w:color="auto" w:fill="auto"/>
            <w:vAlign w:val="bottom"/>
          </w:tcPr>
          <w:p>
            <w:pPr>
              <w:widowControl/>
              <w:jc w:val="left"/>
              <w:rPr>
                <w:rFonts w:ascii="等线" w:hAnsi="等线" w:eastAsia="等线" w:cs="宋体"/>
                <w:color w:val="000000"/>
                <w:kern w:val="0"/>
                <w:sz w:val="22"/>
                <w:szCs w:val="22"/>
              </w:rPr>
            </w:pPr>
          </w:p>
        </w:tc>
        <w:tc>
          <w:tcPr>
            <w:tcW w:w="1786" w:type="dxa"/>
            <w:tcBorders>
              <w:top w:val="nil"/>
              <w:left w:val="nil"/>
              <w:bottom w:val="nil"/>
              <w:right w:val="nil"/>
            </w:tcBorders>
            <w:shd w:val="clear" w:color="auto" w:fill="auto"/>
            <w:vAlign w:val="bottom"/>
          </w:tcPr>
          <w:p>
            <w:pPr>
              <w:widowControl/>
              <w:jc w:val="left"/>
              <w:rPr>
                <w:rFonts w:eastAsia="Times New Roman"/>
                <w:kern w:val="0"/>
                <w:sz w:val="20"/>
                <w:szCs w:val="20"/>
              </w:rPr>
            </w:pPr>
          </w:p>
        </w:tc>
        <w:tc>
          <w:tcPr>
            <w:tcW w:w="1437" w:type="dxa"/>
            <w:tcBorders>
              <w:top w:val="nil"/>
              <w:left w:val="nil"/>
              <w:bottom w:val="nil"/>
              <w:right w:val="nil"/>
            </w:tcBorders>
            <w:shd w:val="clear" w:color="auto" w:fill="auto"/>
            <w:vAlign w:val="bottom"/>
          </w:tcPr>
          <w:p>
            <w:pPr>
              <w:widowControl/>
              <w:jc w:val="left"/>
              <w:rPr>
                <w:rFonts w:eastAsia="Times New Roman"/>
                <w:kern w:val="0"/>
                <w:sz w:val="20"/>
                <w:szCs w:val="20"/>
              </w:rPr>
            </w:pPr>
          </w:p>
        </w:tc>
        <w:tc>
          <w:tcPr>
            <w:tcW w:w="742" w:type="dxa"/>
            <w:tcBorders>
              <w:top w:val="nil"/>
              <w:left w:val="nil"/>
              <w:bottom w:val="nil"/>
              <w:right w:val="nil"/>
            </w:tcBorders>
            <w:shd w:val="clear" w:color="auto" w:fill="auto"/>
            <w:vAlign w:val="bottom"/>
          </w:tcPr>
          <w:p>
            <w:pPr>
              <w:widowControl/>
              <w:jc w:val="left"/>
              <w:rPr>
                <w:rFonts w:eastAsia="Times New Roman"/>
                <w:kern w:val="0"/>
                <w:sz w:val="20"/>
                <w:szCs w:val="20"/>
              </w:rPr>
            </w:pPr>
          </w:p>
        </w:tc>
        <w:tc>
          <w:tcPr>
            <w:tcW w:w="1050" w:type="dxa"/>
            <w:tcBorders>
              <w:top w:val="nil"/>
              <w:left w:val="nil"/>
              <w:bottom w:val="nil"/>
              <w:right w:val="nil"/>
            </w:tcBorders>
            <w:shd w:val="clear" w:color="auto" w:fill="auto"/>
            <w:vAlign w:val="bottom"/>
          </w:tcPr>
          <w:p>
            <w:pPr>
              <w:widowControl/>
              <w:jc w:val="left"/>
              <w:rPr>
                <w:rFonts w:eastAsia="Times New Roman"/>
                <w:kern w:val="0"/>
                <w:sz w:val="20"/>
                <w:szCs w:val="20"/>
              </w:rPr>
            </w:pPr>
          </w:p>
        </w:tc>
        <w:tc>
          <w:tcPr>
            <w:tcW w:w="2534" w:type="dxa"/>
            <w:gridSpan w:val="3"/>
            <w:tcBorders>
              <w:top w:val="single" w:color="auto" w:sz="4" w:space="0"/>
              <w:left w:val="nil"/>
              <w:bottom w:val="nil"/>
              <w:right w:val="nil"/>
            </w:tcBorders>
            <w:shd w:val="clear" w:color="auto" w:fill="auto"/>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制表人：彭冰瑜</w:t>
            </w:r>
          </w:p>
        </w:tc>
      </w:tr>
    </w:tbl>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序号</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姓名</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职称、职务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学历学位</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谢宝清</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讲师（高校）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大学本科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2</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杨洁</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讲师（高校）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3</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梁婉蕾</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讲师（高校）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4</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王果</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5</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陈春廷</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6</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柏超越</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高等学校教师</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7</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庞铭琦</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讲师（高校）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8</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董雪杰</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9</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彭冰瑜</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10</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杨艺云</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11</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黄苑婷</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12</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林堡甄</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13</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黄奕为</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14</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陈妙玲</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讲师（高校）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15</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寻志伟</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副教授</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16</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周浣诗</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17</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杨廷尧</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18</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贺尔曼</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19</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叶华浩</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20</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刘思余</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21</w:t>
            </w:r>
          </w:p>
        </w:tc>
        <w:tc>
          <w:tcPr>
            <w:tcW w:w="1418" w:type="dxa"/>
            <w:gridSpan w:val="2"/>
            <w:tcBorders>
              <w:top w:val="single" w:color="auto" w:sz="4" w:space="0"/>
              <w:left w:val="single" w:color="auto" w:sz="4" w:space="0"/>
              <w:bottom w:val="single" w:color="auto" w:sz="4" w:space="0"/>
              <w:right w:val="single" w:color="auto" w:sz="4" w:space="0"/>
            </w:tcBorders>
          </w:tcPr>
          <w:p>
            <w:r>
              <w:rPr>
                <w:rFonts w:hint="eastAsia"/>
              </w:rPr>
              <w:t>陈雪琳</w:t>
            </w:r>
          </w:p>
        </w:tc>
        <w:tc>
          <w:tcPr>
            <w:tcW w:w="3509" w:type="dxa"/>
            <w:gridSpan w:val="4"/>
            <w:tcBorders>
              <w:top w:val="single" w:color="auto" w:sz="4" w:space="0"/>
              <w:left w:val="single" w:color="auto" w:sz="4" w:space="0"/>
              <w:bottom w:val="single" w:color="auto" w:sz="4" w:space="0"/>
              <w:right w:val="single" w:color="auto" w:sz="4" w:space="0"/>
            </w:tcBorders>
          </w:tcPr>
          <w:p>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r>
              <w:rPr>
                <w:rFonts w:hint="eastAsia"/>
              </w:rPr>
              <w:t>本科</w:t>
            </w:r>
          </w:p>
        </w:tc>
        <w:tc>
          <w:tcPr>
            <w:tcW w:w="1634" w:type="dxa"/>
            <w:gridSpan w:val="3"/>
            <w:tcBorders>
              <w:top w:val="single" w:color="auto" w:sz="4" w:space="0"/>
              <w:left w:val="single" w:color="auto" w:sz="4" w:space="0"/>
              <w:bottom w:val="single" w:color="auto" w:sz="4" w:space="0"/>
              <w:right w:val="single" w:color="auto" w:sz="4" w:space="0"/>
            </w:tcBorders>
          </w:tcPr>
          <w:p>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r>
              <w:rPr>
                <w:rFonts w:hint="eastAsia"/>
              </w:rPr>
              <w:t>2</w:t>
            </w:r>
            <w: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丁焕昌</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助教（高校）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5</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16</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2</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358"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49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50</w:t>
            </w:r>
            <w:r>
              <w:rPr>
                <w:rFonts w:hint="eastAsia" w:ascii="宋体" w:hAnsi="宋体" w:cs="宋体"/>
                <w:szCs w:val="21"/>
              </w:rPr>
              <w:t>%</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r>
              <w:rPr>
                <w:rFonts w:ascii="宋体" w:hAnsi="宋体" w:cs="宋体"/>
                <w:szCs w:val="21"/>
              </w:rPr>
              <w:t>0</w:t>
            </w:r>
            <w:r>
              <w:rPr>
                <w:rFonts w:hint="eastAsia" w:ascii="宋体" w:hAnsi="宋体" w:cs="宋体"/>
                <w:szCs w:val="21"/>
              </w:rPr>
              <w:t>%</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360" w:lineRule="auto"/>
        <w:ind w:firstLine="420" w:firstLineChars="200"/>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本专业有校内实训室4个，分别是会计技能实训室、成本管理实训室、税务技能实训室、财务管理综合技能实训室，可以提供所有上机实训；同时配有计算机近</w:t>
      </w:r>
      <w:r>
        <w:rPr>
          <w:rFonts w:ascii="宋体" w:hAnsi="宋体"/>
          <w:bCs/>
          <w:position w:val="6"/>
        </w:rPr>
        <w:t>200</w:t>
      </w:r>
      <w:r>
        <w:rPr>
          <w:rFonts w:hint="eastAsia" w:ascii="宋体" w:hAnsi="宋体"/>
          <w:bCs/>
          <w:position w:val="6"/>
        </w:rPr>
        <w:t>台，用友实训软件、网中网实训软件、代理记账用友 T+软件等相关实操软件，基本可以满足教学要求。</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871"/>
        <w:gridCol w:w="2105"/>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tcPr>
          <w:p>
            <w:r>
              <w:rPr>
                <w:rFonts w:hint="eastAsia"/>
              </w:rPr>
              <w:t>序号</w:t>
            </w:r>
          </w:p>
        </w:tc>
        <w:tc>
          <w:tcPr>
            <w:tcW w:w="1516" w:type="dxa"/>
          </w:tcPr>
          <w:p>
            <w:r>
              <w:rPr>
                <w:rFonts w:hint="eastAsia"/>
              </w:rPr>
              <w:t>实训室名称</w:t>
            </w:r>
          </w:p>
        </w:tc>
        <w:tc>
          <w:tcPr>
            <w:tcW w:w="871" w:type="dxa"/>
          </w:tcPr>
          <w:p>
            <w:r>
              <w:rPr>
                <w:rFonts w:hint="eastAsia"/>
              </w:rPr>
              <w:t>位置</w:t>
            </w:r>
          </w:p>
        </w:tc>
        <w:tc>
          <w:tcPr>
            <w:tcW w:w="2105" w:type="dxa"/>
          </w:tcPr>
          <w:p>
            <w:r>
              <w:rPr>
                <w:rFonts w:hint="eastAsia"/>
              </w:rPr>
              <w:t>教学科目</w:t>
            </w:r>
          </w:p>
        </w:tc>
        <w:tc>
          <w:tcPr>
            <w:tcW w:w="1737" w:type="dxa"/>
          </w:tcPr>
          <w:p>
            <w:r>
              <w:rPr>
                <w:rFonts w:hint="eastAsia"/>
              </w:rPr>
              <w:t>实验设备</w:t>
            </w:r>
          </w:p>
        </w:tc>
        <w:tc>
          <w:tcPr>
            <w:tcW w:w="2073" w:type="dxa"/>
          </w:tcPr>
          <w:p>
            <w:r>
              <w:rPr>
                <w:rFonts w:hint="eastAsia"/>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tcPr>
          <w:p>
            <w:r>
              <w:rPr>
                <w:rFonts w:hint="eastAsia"/>
              </w:rPr>
              <w:t>1</w:t>
            </w:r>
          </w:p>
        </w:tc>
        <w:tc>
          <w:tcPr>
            <w:tcW w:w="1516" w:type="dxa"/>
          </w:tcPr>
          <w:p>
            <w:r>
              <w:rPr>
                <w:rFonts w:hint="eastAsia"/>
              </w:rPr>
              <w:t>会计技能实训室</w:t>
            </w:r>
          </w:p>
        </w:tc>
        <w:tc>
          <w:tcPr>
            <w:tcW w:w="871" w:type="dxa"/>
          </w:tcPr>
          <w:p>
            <w:r>
              <w:rPr>
                <w:rFonts w:hint="eastAsia"/>
              </w:rPr>
              <w:t>荟文（三）10</w:t>
            </w:r>
            <w:r>
              <w:t>6</w:t>
            </w:r>
          </w:p>
        </w:tc>
        <w:tc>
          <w:tcPr>
            <w:tcW w:w="2105" w:type="dxa"/>
          </w:tcPr>
          <w:p>
            <w:r>
              <w:rPr>
                <w:rFonts w:hint="eastAsia"/>
              </w:rPr>
              <w:t>会计技能训练（出纳业务操作）</w:t>
            </w:r>
          </w:p>
        </w:tc>
        <w:tc>
          <w:tcPr>
            <w:tcW w:w="1737" w:type="dxa"/>
          </w:tcPr>
          <w:p>
            <w:r>
              <w:rPr>
                <w:rFonts w:hint="eastAsia"/>
              </w:rPr>
              <w:t>计算机</w:t>
            </w:r>
          </w:p>
        </w:tc>
        <w:tc>
          <w:tcPr>
            <w:tcW w:w="207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tcPr>
          <w:p>
            <w:r>
              <w:rPr>
                <w:rFonts w:hint="eastAsia"/>
              </w:rPr>
              <w:t>2</w:t>
            </w:r>
          </w:p>
        </w:tc>
        <w:tc>
          <w:tcPr>
            <w:tcW w:w="1516" w:type="dxa"/>
          </w:tcPr>
          <w:p>
            <w:r>
              <w:rPr>
                <w:rFonts w:hint="eastAsia"/>
              </w:rPr>
              <w:t>成本管理实训室</w:t>
            </w:r>
          </w:p>
        </w:tc>
        <w:tc>
          <w:tcPr>
            <w:tcW w:w="871" w:type="dxa"/>
          </w:tcPr>
          <w:p>
            <w:r>
              <w:rPr>
                <w:rFonts w:hint="eastAsia"/>
              </w:rPr>
              <w:t>荟文（三）10</w:t>
            </w:r>
            <w:r>
              <w:t>6</w:t>
            </w:r>
          </w:p>
        </w:tc>
        <w:tc>
          <w:tcPr>
            <w:tcW w:w="2105" w:type="dxa"/>
          </w:tcPr>
          <w:p>
            <w:r>
              <w:t>Python</w:t>
            </w:r>
            <w:r>
              <w:rPr>
                <w:rFonts w:hint="eastAsia"/>
              </w:rPr>
              <w:t>、成本会计</w:t>
            </w:r>
          </w:p>
        </w:tc>
        <w:tc>
          <w:tcPr>
            <w:tcW w:w="1737" w:type="dxa"/>
          </w:tcPr>
          <w:p>
            <w:r>
              <w:rPr>
                <w:rFonts w:hint="eastAsia"/>
              </w:rPr>
              <w:t>计算机</w:t>
            </w:r>
          </w:p>
        </w:tc>
        <w:tc>
          <w:tcPr>
            <w:tcW w:w="207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tcPr>
          <w:p>
            <w:r>
              <w:rPr>
                <w:rFonts w:hint="eastAsia"/>
              </w:rPr>
              <w:t>3</w:t>
            </w:r>
          </w:p>
        </w:tc>
        <w:tc>
          <w:tcPr>
            <w:tcW w:w="1516" w:type="dxa"/>
          </w:tcPr>
          <w:p>
            <w:r>
              <w:rPr>
                <w:rFonts w:hint="eastAsia"/>
              </w:rPr>
              <w:t>税务技能实训室</w:t>
            </w:r>
          </w:p>
        </w:tc>
        <w:tc>
          <w:tcPr>
            <w:tcW w:w="871" w:type="dxa"/>
          </w:tcPr>
          <w:p>
            <w:r>
              <w:rPr>
                <w:rFonts w:hint="eastAsia"/>
              </w:rPr>
              <w:t>荟文（三）105</w:t>
            </w:r>
          </w:p>
        </w:tc>
        <w:tc>
          <w:tcPr>
            <w:tcW w:w="2105" w:type="dxa"/>
          </w:tcPr>
          <w:p>
            <w:pPr>
              <w:widowControl/>
              <w:rPr>
                <w:rFonts w:asciiTheme="minorEastAsia" w:hAnsiTheme="minorEastAsia" w:eastAsiaTheme="minorEastAsia"/>
                <w:kern w:val="0"/>
                <w:szCs w:val="21"/>
              </w:rPr>
            </w:pPr>
            <w:r>
              <w:rPr>
                <w:rFonts w:hint="eastAsia" w:asciiTheme="minorEastAsia" w:hAnsiTheme="minorEastAsia" w:eastAsiaTheme="minorEastAsia"/>
                <w:szCs w:val="21"/>
              </w:rPr>
              <w:t>税务筹划、纳税检查</w:t>
            </w:r>
          </w:p>
          <w:p>
            <w:pPr>
              <w:rPr>
                <w:rFonts w:asciiTheme="minorEastAsia" w:hAnsiTheme="minorEastAsia" w:eastAsiaTheme="minorEastAsia"/>
                <w:szCs w:val="21"/>
              </w:rPr>
            </w:pPr>
          </w:p>
        </w:tc>
        <w:tc>
          <w:tcPr>
            <w:tcW w:w="1737" w:type="dxa"/>
          </w:tcPr>
          <w:p>
            <w:r>
              <w:rPr>
                <w:rFonts w:hint="eastAsia"/>
              </w:rPr>
              <w:t>计算机</w:t>
            </w:r>
          </w:p>
        </w:tc>
        <w:tc>
          <w:tcPr>
            <w:tcW w:w="207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tcPr>
          <w:p>
            <w:r>
              <w:rPr>
                <w:rFonts w:hint="eastAsia"/>
              </w:rPr>
              <w:t>4</w:t>
            </w:r>
          </w:p>
        </w:tc>
        <w:tc>
          <w:tcPr>
            <w:tcW w:w="1516" w:type="dxa"/>
          </w:tcPr>
          <w:p>
            <w:r>
              <w:rPr>
                <w:rFonts w:hint="eastAsia"/>
              </w:rPr>
              <w:t>财务管理综合技能实训室</w:t>
            </w:r>
          </w:p>
        </w:tc>
        <w:tc>
          <w:tcPr>
            <w:tcW w:w="871" w:type="dxa"/>
          </w:tcPr>
          <w:p>
            <w:r>
              <w:rPr>
                <w:rFonts w:hint="eastAsia"/>
              </w:rPr>
              <w:t>荟文（三）105</w:t>
            </w:r>
          </w:p>
        </w:tc>
        <w:tc>
          <w:tcPr>
            <w:tcW w:w="2105" w:type="dxa"/>
          </w:tcPr>
          <w:p>
            <w:r>
              <w:rPr>
                <w:rFonts w:hint="eastAsia"/>
              </w:rPr>
              <w:t>会计电算化、会计综合实训</w:t>
            </w:r>
          </w:p>
        </w:tc>
        <w:tc>
          <w:tcPr>
            <w:tcW w:w="1737" w:type="dxa"/>
          </w:tcPr>
          <w:p>
            <w:r>
              <w:rPr>
                <w:rFonts w:hint="eastAsia"/>
              </w:rPr>
              <w:t>计算机</w:t>
            </w:r>
          </w:p>
        </w:tc>
        <w:tc>
          <w:tcPr>
            <w:tcW w:w="2073" w:type="dxa"/>
          </w:tcPr>
          <w:p/>
        </w:tc>
      </w:tr>
    </w:tbl>
    <w:p>
      <w:pPr>
        <w:spacing w:line="360" w:lineRule="auto"/>
        <w:outlineLvl w:val="0"/>
        <w:rPr>
          <w:rStyle w:val="7"/>
          <w:rFonts w:ascii="宋体" w:hAnsi="宋体"/>
          <w:szCs w:val="21"/>
        </w:rPr>
      </w:pPr>
    </w:p>
    <w:p>
      <w:pPr>
        <w:spacing w:line="360" w:lineRule="auto"/>
        <w:ind w:firstLine="422" w:firstLineChars="200"/>
        <w:outlineLvl w:val="0"/>
        <w:rPr>
          <w:rFonts w:ascii="宋体" w:hAnsi="宋体"/>
          <w:b/>
          <w:bCs/>
          <w:szCs w:val="21"/>
        </w:rPr>
      </w:pPr>
      <w:r>
        <w:rPr>
          <w:rStyle w:val="7"/>
          <w:rFonts w:hint="eastAsia" w:ascii="宋体" w:hAnsi="宋体"/>
          <w:szCs w:val="21"/>
        </w:rPr>
        <w:t>（三）教学资源</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1</w:t>
      </w:r>
      <w:r>
        <w:rPr>
          <w:rFonts w:ascii="宋体" w:hAnsi="宋体"/>
          <w:bCs/>
          <w:color w:val="000000" w:themeColor="text1"/>
          <w14:textFill>
            <w14:solidFill>
              <w14:schemeClr w14:val="tx1"/>
            </w14:solidFill>
          </w14:textFill>
        </w:rPr>
        <w:t>.</w:t>
      </w:r>
      <w:r>
        <w:rPr>
          <w:rFonts w:hint="eastAsia" w:ascii="宋体" w:hAnsi="宋体"/>
          <w:bCs/>
          <w:color w:val="000000" w:themeColor="text1"/>
          <w14:textFill>
            <w14:solidFill>
              <w14:schemeClr w14:val="tx1"/>
            </w14:solidFill>
          </w14:textFill>
        </w:rPr>
        <w:t>（1）图书和数字资源配备。</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馆根据学校学科专业设置的要求，努力建设以师范特色为主，多学科协调发展的馆藏体系，馆藏图书共有51.5万册；电子图书10余万册；过刊2万册；现刊120种；报纸90种。面向全院师生开通了中国知网数据库、超星电子图书数据库等。并在图书馆一楼门厅放置了电子书阅读器供读者阅读下载超星电子图书，为师生、企业提供优质专业教学资源和网络信息资源。核心课程有可供学生自主学习的网络平台，包含课程标准，实践教学大纲，实训指导书，教案，多媒体课件，教学视频，习题库，测试题或试题库，参考书目等教学资源。数字化教学资源方面除电子图书、在线课程之外，另购置有专业数字化资源以及仿真教学软件等，信息化程度在持续提升中。图书配备有关基本要求：有足够数量的，能满足教师学习、教师专业教学研究和教学实施的图书库。</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2）教师通过教学软件以及多媒体设备等，充分利用手工实验室、会计电算化实验室的设施进行教学。教师和学生每人拥有一台计算机，通过教师机可以看到学生机的操作内容（学生演示、屏幕监视等），可以更好地掌握学生的情况。</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（3）充分运用网络课程资源。可以利用现有的电子书籍、电子期刊、数学图书馆、各大网站等网络资源,使教学内容从单一走向多元，使学生的知识和能力的拓展成为可能。</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4）开发和利用外校实训基地。本课程属于实践性较强的专业基础课程，培养学生处理财务管理业务的思维和实际动手能力是本课程的核心目标。因此有一个真实或仿真的操作环境是本课程教学的一个必要条件，学院在不断开发和完善校内实训基地的同时，需要充分利用校外实习基地的培训资源，让学生在真实的环境中理解业务，熟悉真实的业务流程，为学生毕业即可上岗的零过渡做好铺垫。</w:t>
      </w:r>
    </w:p>
    <w:p>
      <w:pPr>
        <w:spacing w:line="400" w:lineRule="exact"/>
        <w:ind w:firstLine="420" w:firstLineChars="200"/>
        <w:rPr>
          <w:rFonts w:ascii="宋体" w:hAnsi="宋体"/>
          <w:bCs/>
          <w:color w:val="000000" w:themeColor="text1"/>
          <w14:textFill>
            <w14:solidFill>
              <w14:schemeClr w14:val="tx1"/>
            </w14:solidFill>
          </w14:textFill>
        </w:rPr>
      </w:pP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2</w:t>
      </w:r>
      <w:r>
        <w:rPr>
          <w:rFonts w:ascii="宋体" w:hAnsi="宋体"/>
          <w:bCs/>
          <w:color w:val="000000" w:themeColor="text1"/>
          <w14:textFill>
            <w14:solidFill>
              <w14:schemeClr w14:val="tx1"/>
            </w14:solidFill>
          </w14:textFill>
        </w:rPr>
        <w:t>.</w:t>
      </w:r>
      <w:r>
        <w:rPr>
          <w:rFonts w:hint="eastAsia" w:ascii="宋体" w:hAnsi="宋体"/>
          <w:bCs/>
          <w:color w:val="000000" w:themeColor="text1"/>
          <w14:textFill>
            <w14:solidFill>
              <w14:schemeClr w14:val="tx1"/>
            </w14:solidFill>
          </w14:textFill>
        </w:rPr>
        <w:t>主要推荐教材</w:t>
      </w:r>
    </w:p>
    <w:tbl>
      <w:tblPr>
        <w:tblStyle w:val="122"/>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2"/>
        <w:gridCol w:w="2221"/>
        <w:gridCol w:w="1400"/>
        <w:gridCol w:w="2125"/>
        <w:gridCol w:w="1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02" w:type="dxa"/>
          </w:tcPr>
          <w:p>
            <w:pPr>
              <w:pStyle w:val="123"/>
              <w:spacing w:before="22"/>
              <w:ind w:left="96" w:right="85"/>
              <w:jc w:val="center"/>
              <w:rPr>
                <w:rFonts w:eastAsiaTheme="minorEastAsia"/>
                <w:b/>
                <w:sz w:val="21"/>
                <w:lang w:eastAsia="en-US"/>
              </w:rPr>
            </w:pPr>
            <w:r>
              <w:rPr>
                <w:rFonts w:eastAsiaTheme="minorEastAsia"/>
                <w:b/>
                <w:sz w:val="21"/>
                <w:lang w:eastAsia="en-US"/>
              </w:rPr>
              <w:t>课程名称</w:t>
            </w:r>
          </w:p>
        </w:tc>
        <w:tc>
          <w:tcPr>
            <w:tcW w:w="2221" w:type="dxa"/>
          </w:tcPr>
          <w:p>
            <w:pPr>
              <w:pStyle w:val="123"/>
              <w:spacing w:before="22"/>
              <w:ind w:left="144" w:right="133"/>
              <w:jc w:val="center"/>
              <w:rPr>
                <w:rFonts w:eastAsiaTheme="minorEastAsia"/>
                <w:b/>
                <w:sz w:val="21"/>
                <w:lang w:eastAsia="en-US"/>
              </w:rPr>
            </w:pPr>
            <w:r>
              <w:rPr>
                <w:rFonts w:eastAsiaTheme="minorEastAsia"/>
                <w:b/>
                <w:sz w:val="21"/>
                <w:lang w:eastAsia="en-US"/>
              </w:rPr>
              <w:t>教材名称</w:t>
            </w:r>
          </w:p>
        </w:tc>
        <w:tc>
          <w:tcPr>
            <w:tcW w:w="1400" w:type="dxa"/>
          </w:tcPr>
          <w:p>
            <w:pPr>
              <w:pStyle w:val="123"/>
              <w:spacing w:before="22"/>
              <w:ind w:left="44" w:right="40"/>
              <w:jc w:val="center"/>
              <w:rPr>
                <w:rFonts w:eastAsiaTheme="minorEastAsia"/>
                <w:b/>
                <w:sz w:val="21"/>
                <w:lang w:eastAsia="en-US"/>
              </w:rPr>
            </w:pPr>
            <w:r>
              <w:rPr>
                <w:rFonts w:eastAsiaTheme="minorEastAsia"/>
                <w:b/>
                <w:sz w:val="21"/>
                <w:lang w:eastAsia="en-US"/>
              </w:rPr>
              <w:t>作者</w:t>
            </w:r>
          </w:p>
        </w:tc>
        <w:tc>
          <w:tcPr>
            <w:tcW w:w="2125" w:type="dxa"/>
          </w:tcPr>
          <w:p>
            <w:pPr>
              <w:pStyle w:val="123"/>
              <w:spacing w:before="22"/>
              <w:ind w:left="93" w:right="90"/>
              <w:jc w:val="center"/>
              <w:rPr>
                <w:rFonts w:eastAsiaTheme="minorEastAsia"/>
                <w:b/>
                <w:sz w:val="21"/>
                <w:lang w:eastAsia="en-US"/>
              </w:rPr>
            </w:pPr>
            <w:r>
              <w:rPr>
                <w:rFonts w:eastAsiaTheme="minorEastAsia"/>
                <w:b/>
                <w:sz w:val="21"/>
                <w:lang w:eastAsia="en-US"/>
              </w:rPr>
              <w:t>出版单位</w:t>
            </w:r>
          </w:p>
        </w:tc>
        <w:tc>
          <w:tcPr>
            <w:tcW w:w="1241" w:type="dxa"/>
          </w:tcPr>
          <w:p>
            <w:pPr>
              <w:pStyle w:val="123"/>
              <w:spacing w:before="22"/>
              <w:ind w:left="177" w:right="169"/>
              <w:jc w:val="center"/>
              <w:rPr>
                <w:rFonts w:eastAsiaTheme="minorEastAsia"/>
                <w:b/>
                <w:sz w:val="21"/>
                <w:lang w:eastAsia="en-US"/>
              </w:rPr>
            </w:pPr>
            <w:r>
              <w:rPr>
                <w:rFonts w:eastAsiaTheme="minorEastAsia"/>
                <w:b/>
                <w:sz w:val="21"/>
                <w:lang w:eastAsia="en-US"/>
              </w:rPr>
              <w:t>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02" w:type="dxa"/>
          </w:tcPr>
          <w:p>
            <w:pPr>
              <w:pStyle w:val="123"/>
              <w:spacing w:before="22"/>
              <w:ind w:left="94" w:right="85"/>
              <w:jc w:val="center"/>
              <w:rPr>
                <w:rFonts w:eastAsiaTheme="minorEastAsia"/>
                <w:sz w:val="21"/>
                <w:lang w:eastAsia="en-US"/>
              </w:rPr>
            </w:pPr>
            <w:r>
              <w:rPr>
                <w:rFonts w:eastAsiaTheme="minorEastAsia"/>
                <w:sz w:val="21"/>
                <w:lang w:eastAsia="en-US"/>
              </w:rPr>
              <w:t>基础会计</w:t>
            </w:r>
          </w:p>
        </w:tc>
        <w:tc>
          <w:tcPr>
            <w:tcW w:w="2221" w:type="dxa"/>
          </w:tcPr>
          <w:p>
            <w:pPr>
              <w:pStyle w:val="123"/>
              <w:spacing w:before="22"/>
              <w:ind w:left="94" w:right="85"/>
              <w:jc w:val="center"/>
              <w:rPr>
                <w:rFonts w:eastAsiaTheme="minorEastAsia"/>
                <w:sz w:val="21"/>
                <w:lang w:eastAsia="en-US"/>
              </w:rPr>
            </w:pPr>
            <w:r>
              <w:rPr>
                <w:rFonts w:eastAsiaTheme="minorEastAsia"/>
                <w:sz w:val="21"/>
                <w:lang w:eastAsia="en-US"/>
              </w:rPr>
              <w:t>基础会计</w:t>
            </w:r>
          </w:p>
        </w:tc>
        <w:tc>
          <w:tcPr>
            <w:tcW w:w="1400" w:type="dxa"/>
          </w:tcPr>
          <w:p>
            <w:pPr>
              <w:pStyle w:val="123"/>
              <w:spacing w:before="22"/>
              <w:ind w:left="49" w:right="40"/>
              <w:jc w:val="center"/>
              <w:rPr>
                <w:rFonts w:eastAsiaTheme="minorEastAsia"/>
                <w:sz w:val="21"/>
                <w:lang w:eastAsia="en-US"/>
              </w:rPr>
            </w:pPr>
            <w:r>
              <w:rPr>
                <w:rFonts w:hint="eastAsia" w:eastAsiaTheme="minorEastAsia"/>
                <w:sz w:val="21"/>
                <w:lang w:eastAsia="zh-CN"/>
              </w:rPr>
              <w:t>高香林</w:t>
            </w:r>
          </w:p>
        </w:tc>
        <w:tc>
          <w:tcPr>
            <w:tcW w:w="2125" w:type="dxa"/>
          </w:tcPr>
          <w:p>
            <w:pPr>
              <w:pStyle w:val="123"/>
              <w:spacing w:before="22"/>
              <w:ind w:left="93" w:right="92"/>
              <w:jc w:val="center"/>
              <w:rPr>
                <w:rFonts w:eastAsiaTheme="minorEastAsia"/>
                <w:sz w:val="21"/>
                <w:lang w:eastAsia="en-US"/>
              </w:rPr>
            </w:pPr>
            <w:r>
              <w:rPr>
                <w:rFonts w:eastAsiaTheme="minorEastAsia"/>
                <w:sz w:val="21"/>
                <w:lang w:eastAsia="en-US"/>
              </w:rPr>
              <w:t>高等教育出版社</w:t>
            </w:r>
          </w:p>
        </w:tc>
        <w:tc>
          <w:tcPr>
            <w:tcW w:w="1241" w:type="dxa"/>
          </w:tcPr>
          <w:p>
            <w:pPr>
              <w:pStyle w:val="123"/>
              <w:spacing w:before="34"/>
              <w:ind w:left="175" w:right="169"/>
              <w:jc w:val="center"/>
              <w:rPr>
                <w:rFonts w:ascii="Times New Roman" w:eastAsiaTheme="minorEastAsia"/>
                <w:sz w:val="21"/>
                <w:lang w:eastAsia="en-US"/>
              </w:rPr>
            </w:pPr>
            <w:r>
              <w:rPr>
                <w:rFonts w:ascii="Times New Roman" w:eastAsiaTheme="minorEastAsia"/>
                <w:sz w:val="21"/>
                <w:lang w:eastAsia="en-US"/>
              </w:rPr>
              <w:t>2019.01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702" w:type="dxa"/>
          </w:tcPr>
          <w:p>
            <w:pPr>
              <w:pStyle w:val="123"/>
              <w:spacing w:before="25"/>
              <w:ind w:left="94" w:right="85"/>
              <w:jc w:val="center"/>
              <w:rPr>
                <w:rFonts w:eastAsiaTheme="minorEastAsia"/>
                <w:sz w:val="21"/>
                <w:lang w:eastAsia="en-US"/>
              </w:rPr>
            </w:pPr>
            <w:r>
              <w:rPr>
                <w:rFonts w:hint="eastAsia" w:eastAsiaTheme="minorEastAsia"/>
                <w:sz w:val="21"/>
                <w:lang w:eastAsia="zh-CN"/>
              </w:rPr>
              <w:t>税收</w:t>
            </w:r>
            <w:r>
              <w:rPr>
                <w:rFonts w:eastAsiaTheme="minorEastAsia"/>
                <w:sz w:val="21"/>
                <w:lang w:eastAsia="en-US"/>
              </w:rPr>
              <w:t>概论</w:t>
            </w:r>
          </w:p>
        </w:tc>
        <w:tc>
          <w:tcPr>
            <w:tcW w:w="2221" w:type="dxa"/>
          </w:tcPr>
          <w:p>
            <w:pPr>
              <w:pStyle w:val="123"/>
              <w:spacing w:before="25"/>
              <w:ind w:left="94" w:right="85"/>
              <w:jc w:val="center"/>
              <w:rPr>
                <w:rFonts w:eastAsiaTheme="minorEastAsia"/>
                <w:sz w:val="21"/>
                <w:lang w:eastAsia="en-US"/>
              </w:rPr>
            </w:pPr>
            <w:r>
              <w:rPr>
                <w:rFonts w:hint="eastAsia" w:eastAsiaTheme="minorEastAsia"/>
                <w:sz w:val="21"/>
                <w:lang w:eastAsia="zh-CN"/>
              </w:rPr>
              <w:t>税收学</w:t>
            </w:r>
            <w:r>
              <w:rPr>
                <w:rFonts w:eastAsiaTheme="minorEastAsia"/>
                <w:sz w:val="21"/>
                <w:lang w:eastAsia="en-US"/>
              </w:rPr>
              <w:t>概论</w:t>
            </w:r>
          </w:p>
        </w:tc>
        <w:tc>
          <w:tcPr>
            <w:tcW w:w="1400" w:type="dxa"/>
          </w:tcPr>
          <w:p>
            <w:pPr>
              <w:pStyle w:val="123"/>
              <w:spacing w:before="25"/>
              <w:ind w:left="49" w:right="40"/>
              <w:jc w:val="center"/>
              <w:rPr>
                <w:rFonts w:eastAsiaTheme="minorEastAsia"/>
                <w:sz w:val="21"/>
                <w:lang w:eastAsia="en-US"/>
              </w:rPr>
            </w:pPr>
            <w:r>
              <w:rPr>
                <w:rFonts w:hint="eastAsia" w:eastAsiaTheme="minorEastAsia"/>
                <w:sz w:val="21"/>
                <w:lang w:eastAsia="zh-CN"/>
              </w:rPr>
              <w:t>于海峰</w:t>
            </w:r>
          </w:p>
        </w:tc>
        <w:tc>
          <w:tcPr>
            <w:tcW w:w="2125" w:type="dxa"/>
          </w:tcPr>
          <w:p>
            <w:pPr>
              <w:pStyle w:val="123"/>
              <w:spacing w:before="25"/>
              <w:ind w:left="93" w:right="90"/>
              <w:jc w:val="center"/>
              <w:rPr>
                <w:rFonts w:eastAsiaTheme="minorEastAsia"/>
                <w:sz w:val="21"/>
                <w:lang w:eastAsia="en-US"/>
              </w:rPr>
            </w:pPr>
            <w:r>
              <w:rPr>
                <w:rFonts w:hint="eastAsia" w:eastAsiaTheme="minorEastAsia"/>
                <w:sz w:val="21"/>
                <w:lang w:eastAsia="zh-CN"/>
              </w:rPr>
              <w:t>经济科学</w:t>
            </w:r>
            <w:r>
              <w:rPr>
                <w:rFonts w:eastAsiaTheme="minorEastAsia"/>
                <w:sz w:val="21"/>
                <w:lang w:eastAsia="en-US"/>
              </w:rPr>
              <w:t>出版社</w:t>
            </w:r>
          </w:p>
        </w:tc>
        <w:tc>
          <w:tcPr>
            <w:tcW w:w="1241" w:type="dxa"/>
          </w:tcPr>
          <w:p>
            <w:pPr>
              <w:pStyle w:val="123"/>
              <w:spacing w:before="36"/>
              <w:ind w:left="177" w:right="169"/>
              <w:jc w:val="center"/>
              <w:rPr>
                <w:rFonts w:ascii="Times New Roman" w:eastAsiaTheme="minorEastAsia"/>
                <w:sz w:val="21"/>
                <w:lang w:eastAsia="en-US"/>
              </w:rPr>
            </w:pPr>
            <w:r>
              <w:rPr>
                <w:rFonts w:ascii="Times New Roman" w:eastAsiaTheme="minorEastAsia"/>
                <w:sz w:val="21"/>
                <w:lang w:eastAsia="en-US"/>
              </w:rPr>
              <w:t>2016.09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02" w:type="dxa"/>
          </w:tcPr>
          <w:p>
            <w:pPr>
              <w:pStyle w:val="123"/>
              <w:spacing w:before="22"/>
              <w:ind w:left="96" w:right="85"/>
              <w:jc w:val="center"/>
              <w:rPr>
                <w:rFonts w:eastAsiaTheme="minorEastAsia"/>
                <w:sz w:val="21"/>
                <w:lang w:eastAsia="en-US"/>
              </w:rPr>
            </w:pPr>
            <w:r>
              <w:rPr>
                <w:rFonts w:hint="eastAsia" w:eastAsiaTheme="minorEastAsia"/>
                <w:sz w:val="21"/>
                <w:lang w:eastAsia="zh-CN"/>
              </w:rPr>
              <w:t>税法</w:t>
            </w:r>
          </w:p>
        </w:tc>
        <w:tc>
          <w:tcPr>
            <w:tcW w:w="2221" w:type="dxa"/>
          </w:tcPr>
          <w:p>
            <w:pPr>
              <w:pStyle w:val="123"/>
              <w:spacing w:before="22"/>
              <w:ind w:left="96" w:right="85"/>
              <w:jc w:val="center"/>
              <w:rPr>
                <w:rFonts w:eastAsiaTheme="minorEastAsia"/>
                <w:sz w:val="21"/>
                <w:lang w:eastAsia="en-US"/>
              </w:rPr>
            </w:pPr>
            <w:r>
              <w:rPr>
                <w:rFonts w:hint="eastAsia" w:eastAsiaTheme="minorEastAsia"/>
                <w:sz w:val="21"/>
                <w:lang w:eastAsia="zh-CN"/>
              </w:rPr>
              <w:t>税法</w:t>
            </w:r>
          </w:p>
        </w:tc>
        <w:tc>
          <w:tcPr>
            <w:tcW w:w="1400" w:type="dxa"/>
          </w:tcPr>
          <w:p>
            <w:pPr>
              <w:pStyle w:val="123"/>
              <w:spacing w:before="22"/>
              <w:ind w:left="49" w:right="40"/>
              <w:jc w:val="center"/>
              <w:rPr>
                <w:rFonts w:eastAsiaTheme="minorEastAsia"/>
                <w:sz w:val="21"/>
                <w:lang w:eastAsia="en-US"/>
              </w:rPr>
            </w:pPr>
            <w:r>
              <w:rPr>
                <w:rFonts w:hint="eastAsia" w:eastAsiaTheme="minorEastAsia"/>
                <w:sz w:val="21"/>
                <w:lang w:eastAsia="zh-CN"/>
              </w:rPr>
              <w:t>左卫清</w:t>
            </w:r>
          </w:p>
        </w:tc>
        <w:tc>
          <w:tcPr>
            <w:tcW w:w="2125" w:type="dxa"/>
          </w:tcPr>
          <w:p>
            <w:pPr>
              <w:pStyle w:val="123"/>
              <w:spacing w:before="22"/>
              <w:ind w:left="93" w:right="90"/>
              <w:jc w:val="center"/>
              <w:rPr>
                <w:rFonts w:eastAsiaTheme="minorEastAsia"/>
                <w:sz w:val="21"/>
                <w:lang w:eastAsia="en-US"/>
              </w:rPr>
            </w:pPr>
            <w:r>
              <w:rPr>
                <w:rFonts w:eastAsiaTheme="minorEastAsia"/>
                <w:sz w:val="21"/>
                <w:lang w:eastAsia="en-US"/>
              </w:rPr>
              <w:t>高等教育出版社</w:t>
            </w:r>
          </w:p>
        </w:tc>
        <w:tc>
          <w:tcPr>
            <w:tcW w:w="1241" w:type="dxa"/>
          </w:tcPr>
          <w:p>
            <w:pPr>
              <w:pStyle w:val="123"/>
              <w:spacing w:before="34"/>
              <w:ind w:left="175" w:right="169"/>
              <w:jc w:val="center"/>
              <w:rPr>
                <w:rFonts w:ascii="Times New Roman" w:eastAsiaTheme="minorEastAsia"/>
                <w:sz w:val="21"/>
                <w:lang w:eastAsia="en-US"/>
              </w:rPr>
            </w:pPr>
            <w:r>
              <w:rPr>
                <w:rFonts w:ascii="Times New Roman" w:eastAsiaTheme="minorEastAsia"/>
                <w:sz w:val="21"/>
                <w:lang w:eastAsia="en-US"/>
              </w:rPr>
              <w:t>2019.02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702" w:type="dxa"/>
          </w:tcPr>
          <w:p>
            <w:pPr>
              <w:pStyle w:val="123"/>
              <w:spacing w:before="87"/>
              <w:ind w:left="96" w:right="85"/>
              <w:jc w:val="center"/>
              <w:rPr>
                <w:rFonts w:eastAsiaTheme="minorEastAsia"/>
                <w:sz w:val="21"/>
                <w:lang w:eastAsia="en-US"/>
              </w:rPr>
            </w:pPr>
            <w:r>
              <w:rPr>
                <w:rFonts w:hint="eastAsia" w:eastAsiaTheme="minorEastAsia"/>
                <w:sz w:val="21"/>
                <w:lang w:eastAsia="zh-CN"/>
              </w:rPr>
              <w:t>企业财务会计</w:t>
            </w:r>
          </w:p>
        </w:tc>
        <w:tc>
          <w:tcPr>
            <w:tcW w:w="2221" w:type="dxa"/>
          </w:tcPr>
          <w:p>
            <w:pPr>
              <w:pStyle w:val="123"/>
              <w:spacing w:before="87"/>
              <w:ind w:left="96" w:right="85"/>
              <w:jc w:val="center"/>
              <w:rPr>
                <w:rFonts w:eastAsiaTheme="minorEastAsia"/>
                <w:sz w:val="21"/>
                <w:lang w:eastAsia="en-US"/>
              </w:rPr>
            </w:pPr>
            <w:r>
              <w:rPr>
                <w:rFonts w:hint="eastAsia" w:eastAsiaTheme="minorEastAsia"/>
                <w:sz w:val="21"/>
                <w:lang w:eastAsia="zh-CN"/>
              </w:rPr>
              <w:t>财务会计实务</w:t>
            </w:r>
          </w:p>
        </w:tc>
        <w:tc>
          <w:tcPr>
            <w:tcW w:w="1400" w:type="dxa"/>
          </w:tcPr>
          <w:p>
            <w:pPr>
              <w:pStyle w:val="123"/>
              <w:spacing w:before="178"/>
              <w:ind w:left="49" w:right="40"/>
              <w:jc w:val="center"/>
              <w:rPr>
                <w:rFonts w:eastAsiaTheme="minorEastAsia"/>
                <w:sz w:val="21"/>
                <w:lang w:eastAsia="en-US"/>
              </w:rPr>
            </w:pPr>
            <w:r>
              <w:rPr>
                <w:rFonts w:hint="eastAsia" w:eastAsiaTheme="minorEastAsia"/>
                <w:sz w:val="21"/>
                <w:lang w:eastAsia="zh-CN"/>
              </w:rPr>
              <w:t>高丽萍</w:t>
            </w:r>
          </w:p>
        </w:tc>
        <w:tc>
          <w:tcPr>
            <w:tcW w:w="2125" w:type="dxa"/>
          </w:tcPr>
          <w:p>
            <w:pPr>
              <w:pStyle w:val="123"/>
              <w:spacing w:before="43"/>
              <w:ind w:left="93" w:right="90"/>
              <w:jc w:val="center"/>
              <w:rPr>
                <w:rFonts w:eastAsiaTheme="minorEastAsia"/>
                <w:sz w:val="21"/>
                <w:lang w:eastAsia="zh-CN"/>
              </w:rPr>
            </w:pPr>
            <w:r>
              <w:rPr>
                <w:rFonts w:eastAsiaTheme="minorEastAsia"/>
                <w:sz w:val="21"/>
                <w:lang w:eastAsia="en-US"/>
              </w:rPr>
              <w:t>高等教育出版社</w:t>
            </w:r>
          </w:p>
        </w:tc>
        <w:tc>
          <w:tcPr>
            <w:tcW w:w="1241" w:type="dxa"/>
          </w:tcPr>
          <w:p>
            <w:pPr>
              <w:pStyle w:val="123"/>
              <w:spacing w:before="190"/>
              <w:ind w:left="177" w:right="169"/>
              <w:jc w:val="center"/>
              <w:rPr>
                <w:rFonts w:ascii="Times New Roman" w:eastAsiaTheme="minorEastAsia"/>
                <w:sz w:val="21"/>
                <w:lang w:eastAsia="en-US"/>
              </w:rPr>
            </w:pPr>
            <w:r>
              <w:rPr>
                <w:rFonts w:ascii="Times New Roman" w:eastAsiaTheme="minorEastAsia"/>
                <w:sz w:val="21"/>
                <w:lang w:eastAsia="en-US"/>
              </w:rPr>
              <w:t>2019.02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02" w:type="dxa"/>
          </w:tcPr>
          <w:p>
            <w:pPr>
              <w:pStyle w:val="123"/>
              <w:spacing w:before="23"/>
              <w:ind w:left="96" w:right="85"/>
              <w:jc w:val="center"/>
              <w:rPr>
                <w:rFonts w:eastAsiaTheme="minorEastAsia"/>
                <w:sz w:val="21"/>
                <w:lang w:eastAsia="en-US"/>
              </w:rPr>
            </w:pPr>
            <w:r>
              <w:rPr>
                <w:rFonts w:hint="eastAsia" w:eastAsiaTheme="minorEastAsia"/>
                <w:sz w:val="21"/>
                <w:lang w:eastAsia="zh-CN"/>
              </w:rPr>
              <w:t>税收</w:t>
            </w:r>
            <w:r>
              <w:rPr>
                <w:rFonts w:eastAsiaTheme="minorEastAsia"/>
                <w:sz w:val="21"/>
                <w:lang w:eastAsia="en-US"/>
              </w:rPr>
              <w:t>筹划</w:t>
            </w:r>
          </w:p>
        </w:tc>
        <w:tc>
          <w:tcPr>
            <w:tcW w:w="2221" w:type="dxa"/>
          </w:tcPr>
          <w:p>
            <w:pPr>
              <w:pStyle w:val="123"/>
              <w:spacing w:before="23"/>
              <w:ind w:left="96" w:right="85"/>
              <w:jc w:val="center"/>
              <w:rPr>
                <w:rFonts w:eastAsiaTheme="minorEastAsia"/>
                <w:sz w:val="21"/>
                <w:lang w:eastAsia="en-US"/>
              </w:rPr>
            </w:pPr>
            <w:r>
              <w:rPr>
                <w:rFonts w:hint="eastAsia" w:eastAsiaTheme="minorEastAsia"/>
                <w:sz w:val="21"/>
                <w:lang w:eastAsia="zh-CN"/>
              </w:rPr>
              <w:t>税收</w:t>
            </w:r>
            <w:r>
              <w:rPr>
                <w:rFonts w:eastAsiaTheme="minorEastAsia"/>
                <w:sz w:val="21"/>
                <w:lang w:eastAsia="en-US"/>
              </w:rPr>
              <w:t>筹划</w:t>
            </w:r>
          </w:p>
        </w:tc>
        <w:tc>
          <w:tcPr>
            <w:tcW w:w="1400" w:type="dxa"/>
          </w:tcPr>
          <w:p>
            <w:pPr>
              <w:pStyle w:val="123"/>
              <w:spacing w:before="23"/>
              <w:ind w:left="49" w:right="40"/>
              <w:jc w:val="center"/>
              <w:rPr>
                <w:rFonts w:eastAsiaTheme="minorEastAsia"/>
                <w:sz w:val="21"/>
                <w:lang w:eastAsia="en-US"/>
              </w:rPr>
            </w:pPr>
            <w:r>
              <w:rPr>
                <w:rFonts w:hint="eastAsia" w:eastAsiaTheme="minorEastAsia"/>
                <w:sz w:val="21"/>
                <w:lang w:eastAsia="zh-CN"/>
              </w:rPr>
              <w:t>林松池</w:t>
            </w:r>
          </w:p>
        </w:tc>
        <w:tc>
          <w:tcPr>
            <w:tcW w:w="2125" w:type="dxa"/>
          </w:tcPr>
          <w:p>
            <w:pPr>
              <w:pStyle w:val="123"/>
              <w:spacing w:before="23"/>
              <w:ind w:left="93" w:right="90"/>
              <w:jc w:val="center"/>
              <w:rPr>
                <w:rFonts w:eastAsiaTheme="minorEastAsia"/>
                <w:sz w:val="21"/>
                <w:lang w:eastAsia="en-US"/>
              </w:rPr>
            </w:pPr>
            <w:r>
              <w:rPr>
                <w:rFonts w:eastAsiaTheme="minorEastAsia"/>
                <w:sz w:val="21"/>
                <w:lang w:eastAsia="en-US"/>
              </w:rPr>
              <w:t>高等教育出版社</w:t>
            </w:r>
          </w:p>
        </w:tc>
        <w:tc>
          <w:tcPr>
            <w:tcW w:w="1241" w:type="dxa"/>
          </w:tcPr>
          <w:p>
            <w:pPr>
              <w:pStyle w:val="123"/>
              <w:spacing w:before="34"/>
              <w:ind w:left="177" w:right="169"/>
              <w:jc w:val="center"/>
              <w:rPr>
                <w:rFonts w:ascii="Times New Roman" w:eastAsiaTheme="minorEastAsia"/>
                <w:sz w:val="21"/>
                <w:lang w:eastAsia="en-US"/>
              </w:rPr>
            </w:pPr>
            <w:r>
              <w:rPr>
                <w:rFonts w:ascii="Times New Roman" w:eastAsiaTheme="minorEastAsia"/>
                <w:sz w:val="21"/>
                <w:lang w:eastAsia="en-US"/>
              </w:rPr>
              <w:t>2019.08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02" w:type="dxa"/>
          </w:tcPr>
          <w:p>
            <w:pPr>
              <w:pStyle w:val="123"/>
              <w:spacing w:before="116"/>
              <w:ind w:left="94" w:right="85"/>
              <w:jc w:val="center"/>
              <w:rPr>
                <w:rFonts w:eastAsiaTheme="minorEastAsia"/>
                <w:sz w:val="21"/>
                <w:lang w:eastAsia="en-US"/>
              </w:rPr>
            </w:pPr>
            <w:r>
              <w:rPr>
                <w:rFonts w:hint="eastAsia" w:eastAsiaTheme="minorEastAsia"/>
                <w:sz w:val="21"/>
                <w:lang w:eastAsia="zh-CN"/>
              </w:rPr>
              <w:t>纳税检查</w:t>
            </w:r>
          </w:p>
        </w:tc>
        <w:tc>
          <w:tcPr>
            <w:tcW w:w="2221" w:type="dxa"/>
          </w:tcPr>
          <w:p>
            <w:pPr>
              <w:pStyle w:val="123"/>
              <w:spacing w:before="116"/>
              <w:ind w:left="94" w:right="85"/>
              <w:jc w:val="center"/>
              <w:rPr>
                <w:rFonts w:eastAsiaTheme="minorEastAsia"/>
                <w:sz w:val="21"/>
                <w:lang w:eastAsia="en-US"/>
              </w:rPr>
            </w:pPr>
            <w:r>
              <w:rPr>
                <w:rFonts w:hint="eastAsia" w:eastAsiaTheme="minorEastAsia"/>
                <w:sz w:val="21"/>
                <w:lang w:eastAsia="zh-CN"/>
              </w:rPr>
              <w:t>纳税检查</w:t>
            </w:r>
          </w:p>
        </w:tc>
        <w:tc>
          <w:tcPr>
            <w:tcW w:w="1400" w:type="dxa"/>
          </w:tcPr>
          <w:p>
            <w:pPr>
              <w:pStyle w:val="123"/>
              <w:spacing w:before="25"/>
              <w:ind w:left="49" w:right="40"/>
              <w:jc w:val="center"/>
              <w:rPr>
                <w:rFonts w:eastAsiaTheme="minorEastAsia"/>
                <w:sz w:val="21"/>
                <w:lang w:eastAsia="en-US"/>
              </w:rPr>
            </w:pPr>
            <w:r>
              <w:rPr>
                <w:rFonts w:eastAsiaTheme="minorEastAsia"/>
                <w:sz w:val="21"/>
                <w:lang w:eastAsia="en-US"/>
              </w:rPr>
              <w:t>周慧玲</w:t>
            </w:r>
          </w:p>
        </w:tc>
        <w:tc>
          <w:tcPr>
            <w:tcW w:w="2125" w:type="dxa"/>
          </w:tcPr>
          <w:p>
            <w:pPr>
              <w:pStyle w:val="123"/>
              <w:spacing w:before="25"/>
              <w:ind w:left="93" w:right="92"/>
              <w:jc w:val="center"/>
              <w:rPr>
                <w:rFonts w:eastAsiaTheme="minorEastAsia"/>
                <w:sz w:val="21"/>
                <w:lang w:eastAsia="en-US"/>
              </w:rPr>
            </w:pPr>
            <w:r>
              <w:rPr>
                <w:rFonts w:eastAsiaTheme="minorEastAsia"/>
                <w:sz w:val="21"/>
                <w:lang w:eastAsia="en-US"/>
              </w:rPr>
              <w:t>中国</w:t>
            </w:r>
            <w:r>
              <w:rPr>
                <w:rFonts w:hint="eastAsia" w:eastAsiaTheme="minorEastAsia"/>
                <w:sz w:val="21"/>
                <w:lang w:eastAsia="zh-CN"/>
              </w:rPr>
              <w:t>人民</w:t>
            </w:r>
            <w:r>
              <w:rPr>
                <w:rFonts w:eastAsiaTheme="minorEastAsia"/>
                <w:sz w:val="21"/>
                <w:lang w:eastAsia="en-US"/>
              </w:rPr>
              <w:t>大学出版社</w:t>
            </w:r>
          </w:p>
        </w:tc>
        <w:tc>
          <w:tcPr>
            <w:tcW w:w="1241" w:type="dxa"/>
          </w:tcPr>
          <w:p>
            <w:pPr>
              <w:pStyle w:val="123"/>
              <w:spacing w:before="36"/>
              <w:ind w:left="177" w:right="169"/>
              <w:jc w:val="center"/>
              <w:rPr>
                <w:rFonts w:ascii="Times New Roman" w:eastAsiaTheme="minorEastAsia"/>
                <w:sz w:val="21"/>
                <w:lang w:eastAsia="en-US"/>
              </w:rPr>
            </w:pPr>
            <w:r>
              <w:rPr>
                <w:rFonts w:ascii="Times New Roman" w:eastAsiaTheme="minorEastAsia"/>
                <w:sz w:val="21"/>
                <w:lang w:eastAsia="en-US"/>
              </w:rPr>
              <w:t>2020.07</w:t>
            </w:r>
          </w:p>
        </w:tc>
      </w:tr>
    </w:tbl>
    <w:p>
      <w:pPr>
        <w:spacing w:line="400" w:lineRule="exact"/>
        <w:ind w:firstLine="420" w:firstLineChars="200"/>
        <w:rPr>
          <w:rFonts w:ascii="宋体" w:hAnsi="宋体"/>
          <w:bCs/>
          <w:color w:val="000000" w:themeColor="text1"/>
          <w14:textFill>
            <w14:solidFill>
              <w14:schemeClr w14:val="tx1"/>
            </w14:solidFill>
          </w14:textFill>
        </w:rPr>
      </w:pP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bCs/>
          <w:color w:val="000000" w:themeColor="text1"/>
          <w14:textFill>
            <w14:solidFill>
              <w14:schemeClr w14:val="tx1"/>
            </w14:solidFill>
          </w14:textFill>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w:t>
      </w:r>
      <w:r>
        <w:rPr>
          <w:rFonts w:ascii="宋体" w:hAnsi="宋体"/>
          <w:szCs w:val="21"/>
        </w:rPr>
        <w:t>15</w:t>
      </w:r>
      <w:r>
        <w:rPr>
          <w:rFonts w:hint="eastAsia" w:ascii="宋体" w:hAnsi="宋体"/>
          <w:szCs w:val="21"/>
        </w:rPr>
        <w:t>学分。</w:t>
      </w:r>
    </w:p>
    <w:p>
      <w:pPr>
        <w:spacing w:line="400" w:lineRule="exact"/>
        <w:ind w:firstLine="421"/>
        <w:rPr>
          <w:rFonts w:ascii="宋体" w:hAnsi="宋体"/>
          <w:szCs w:val="21"/>
        </w:rPr>
      </w:pPr>
      <w:r>
        <w:rPr>
          <w:rFonts w:hint="eastAsia" w:ascii="宋体" w:hAnsi="宋体"/>
          <w:szCs w:val="21"/>
        </w:rPr>
        <w:t>其中，学分替换规则如下表所示：</w:t>
      </w:r>
    </w:p>
    <w:p>
      <w:pPr>
        <w:spacing w:line="400" w:lineRule="exact"/>
        <w:rPr>
          <w:rFonts w:ascii="宋体" w:hAnsi="宋体"/>
          <w:szCs w:val="21"/>
        </w:rPr>
      </w:pPr>
    </w:p>
    <w:tbl>
      <w:tblPr>
        <w:tblStyle w:val="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初级会计职业资格证书</w:t>
            </w:r>
          </w:p>
        </w:tc>
        <w:tc>
          <w:tcPr>
            <w:tcW w:w="6258" w:type="dxa"/>
          </w:tcPr>
          <w:p>
            <w:pPr>
              <w:rPr>
                <w:rFonts w:ascii="宋体" w:hAnsi="宋体"/>
                <w:sz w:val="18"/>
                <w:szCs w:val="18"/>
              </w:rPr>
            </w:pPr>
            <w:r>
              <w:rPr>
                <w:rFonts w:hint="eastAsia" w:ascii="宋体" w:hAnsi="宋体"/>
                <w:sz w:val="18"/>
                <w:szCs w:val="18"/>
              </w:rPr>
              <w:t>取得可替换2分</w:t>
            </w:r>
          </w:p>
        </w:tc>
      </w:tr>
    </w:tbl>
    <w:p>
      <w:pPr>
        <w:spacing w:line="400" w:lineRule="exact"/>
        <w:ind w:firstLine="420" w:firstLineChars="200"/>
        <w:rPr>
          <w:rFonts w:ascii="宋体" w:hAnsi="宋体"/>
          <w:bCs/>
          <w:szCs w:val="21"/>
        </w:rPr>
      </w:pPr>
      <w:r>
        <w:rPr>
          <w:rFonts w:hint="eastAsia" w:ascii="宋体" w:hAnsi="宋体"/>
          <w:bCs/>
          <w:szCs w:val="21"/>
        </w:rPr>
        <w:t>（二）接受学校督导办公室的监督，对专业及专兼职教师日常教学工作的完成情况进行督导考核，对校企合作项目化课程改革进行指导，督促专业教师通过论文撰写、教材编写、顶岗实践等多种形式提升自我实践教学能力。</w:t>
      </w:r>
    </w:p>
    <w:p>
      <w:pPr>
        <w:spacing w:line="400" w:lineRule="exact"/>
        <w:ind w:firstLine="421"/>
        <w:rPr>
          <w:rFonts w:ascii="宋体" w:hAnsi="宋体"/>
          <w:bCs/>
          <w:szCs w:val="21"/>
        </w:rPr>
      </w:pPr>
      <w:r>
        <w:rPr>
          <w:rFonts w:hint="eastAsia" w:ascii="宋体" w:hAnsi="宋体"/>
          <w:bCs/>
          <w:szCs w:val="21"/>
        </w:rPr>
        <w:t>（三）完善教学质量保障体系，为保证人才培养质量，加强专业教学质量监控，专业制定了教学信息反馈制度、教学常规检查制度、顶岗实习制度。通过每学期的期初、期中、期末检查， 对专业教师日常教学工作的完成情况进行督导考核，提高教学过程各个环节的教学质量；通过开展学生评教、学生信息员反馈、毕业生信息反馈等活动，增强学生与教师的双向互动，不断完善教学过程；通过专业建设指导委员会、实践专家访谈会、学生赴企业顶岗实习、实地走访调研等形式，及时收集政府、行业、企业专家对专业人才培养和教学质量的评价和反馈，促进教学工作不断改进，保障和提高教学质量。</w:t>
      </w:r>
    </w:p>
    <w:p>
      <w:pPr>
        <w:adjustRightInd w:val="0"/>
        <w:snapToGrid w:val="0"/>
        <w:spacing w:before="156" w:beforeLines="50" w:line="360" w:lineRule="auto"/>
        <w:rPr>
          <w:rFonts w:ascii="宋体" w:hAnsi="宋体"/>
          <w:bCs/>
          <w:szCs w:val="21"/>
        </w:rPr>
      </w:pPr>
      <w:r>
        <w:rPr>
          <w:rFonts w:hint="eastAsia" w:ascii="宋体" w:hAnsi="宋体"/>
          <w:bCs/>
          <w:szCs w:val="21"/>
        </w:rPr>
        <w:t xml:space="preserve">    （四）结合学校建设的一站式服务平台，从学生表达意见方面着手，开展多维度监测，对教师的教学质量进行多维度评价，加强专业调研，更新人才培养方案，通过教学实施、过程监控、质量评价和持续改进，达成人才培养规格。</w:t>
      </w: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left"/>
        <w:rPr>
          <w:rFonts w:ascii="宋体" w:hAnsi="宋体"/>
          <w:b/>
          <w:bCs/>
          <w:szCs w:val="21"/>
        </w:rPr>
      </w:pPr>
      <w:r>
        <w:rPr>
          <w:rFonts w:ascii="宋体" w:hAnsi="宋体"/>
          <w:b/>
          <w:bCs/>
          <w:szCs w:val="21"/>
        </w:rPr>
        <w:br w:type="page"/>
      </w: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5"/>
        <w:tblW w:w="9361" w:type="dxa"/>
        <w:tblInd w:w="0" w:type="dxa"/>
        <w:tblLayout w:type="autofit"/>
        <w:tblCellMar>
          <w:top w:w="0" w:type="dxa"/>
          <w:left w:w="108" w:type="dxa"/>
          <w:bottom w:w="0" w:type="dxa"/>
          <w:right w:w="108" w:type="dxa"/>
        </w:tblCellMar>
      </w:tblPr>
      <w:tblGrid>
        <w:gridCol w:w="1074"/>
        <w:gridCol w:w="1759"/>
        <w:gridCol w:w="1417"/>
        <w:gridCol w:w="769"/>
        <w:gridCol w:w="1439"/>
        <w:gridCol w:w="732"/>
        <w:gridCol w:w="1439"/>
        <w:gridCol w:w="732"/>
      </w:tblGrid>
      <w:tr>
        <w:tblPrEx>
          <w:tblCellMar>
            <w:top w:w="0" w:type="dxa"/>
            <w:left w:w="108" w:type="dxa"/>
            <w:bottom w:w="0" w:type="dxa"/>
            <w:right w:w="108" w:type="dxa"/>
          </w:tblCellMar>
        </w:tblPrEx>
        <w:trPr>
          <w:trHeight w:val="315" w:hRule="atLeast"/>
        </w:trPr>
        <w:tc>
          <w:tcPr>
            <w:tcW w:w="9361" w:type="dxa"/>
            <w:gridSpan w:val="8"/>
            <w:tcBorders>
              <w:top w:val="nil"/>
              <w:left w:val="nil"/>
              <w:bottom w:val="nil"/>
              <w:right w:val="nil"/>
            </w:tcBorders>
            <w:shd w:val="clear" w:color="auto" w:fill="auto"/>
            <w:noWrap/>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c>
      </w:tr>
      <w:tr>
        <w:tblPrEx>
          <w:tblCellMar>
            <w:top w:w="0" w:type="dxa"/>
            <w:left w:w="108" w:type="dxa"/>
            <w:bottom w:w="0" w:type="dxa"/>
            <w:right w:w="108" w:type="dxa"/>
          </w:tblCellMar>
        </w:tblPrEx>
        <w:trPr>
          <w:trHeight w:val="570" w:hRule="atLeast"/>
        </w:trPr>
        <w:tc>
          <w:tcPr>
            <w:tcW w:w="425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76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4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732"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学分</w:t>
            </w:r>
          </w:p>
        </w:tc>
        <w:tc>
          <w:tcPr>
            <w:tcW w:w="14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占总学分的百分比</w:t>
            </w:r>
          </w:p>
        </w:tc>
        <w:tc>
          <w:tcPr>
            <w:tcW w:w="732"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285" w:hRule="atLeast"/>
        </w:trPr>
        <w:tc>
          <w:tcPr>
            <w:tcW w:w="107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17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271</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10.56%</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22</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14.86%</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59"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357</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13.91%</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13.51%</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560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21.82%</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35</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23.65%</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59"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664</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25.88%</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35</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23.65%</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17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199</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7.76%</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6.76%</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59"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85</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3.31%</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6.76%</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160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6.24%</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5.41%</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759"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128</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4.99%</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5.41%</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25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技能训练</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0.00%</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0.00%</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25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其他实践活动</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0.00%</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0.00%</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25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2566</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148</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2833"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1190</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46.38%</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75</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50.68%</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28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1234</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48.09%</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73</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49.32%</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25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76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2566</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732"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148</w:t>
            </w:r>
          </w:p>
        </w:tc>
        <w:tc>
          <w:tcPr>
            <w:tcW w:w="1439"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1074"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759"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417"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769"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1439" w:type="dxa"/>
            <w:tcBorders>
              <w:top w:val="nil"/>
              <w:left w:val="nil"/>
              <w:bottom w:val="nil"/>
              <w:right w:val="nil"/>
            </w:tcBorders>
            <w:shd w:val="clear" w:color="auto" w:fill="auto"/>
            <w:noWrap/>
            <w:vAlign w:val="bottom"/>
          </w:tcPr>
          <w:p>
            <w:pPr>
              <w:widowControl/>
              <w:jc w:val="left"/>
              <w:rPr>
                <w:rFonts w:eastAsia="Times New Roman"/>
                <w:kern w:val="0"/>
                <w:sz w:val="20"/>
                <w:szCs w:val="20"/>
              </w:rPr>
            </w:pPr>
          </w:p>
        </w:tc>
        <w:tc>
          <w:tcPr>
            <w:tcW w:w="2903" w:type="dxa"/>
            <w:gridSpan w:val="3"/>
            <w:tcBorders>
              <w:top w:val="single" w:color="auto" w:sz="4" w:space="0"/>
              <w:left w:val="nil"/>
              <w:bottom w:val="nil"/>
              <w:right w:val="nil"/>
            </w:tcBorders>
            <w:shd w:val="clear" w:color="auto" w:fill="auto"/>
            <w:noWrap/>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制表人：彭冰瑜</w:t>
            </w:r>
          </w:p>
        </w:tc>
      </w:tr>
    </w:tbl>
    <w:p>
      <w:pPr>
        <w:adjustRightInd w:val="0"/>
        <w:snapToGrid w:val="0"/>
        <w:spacing w:line="360" w:lineRule="auto"/>
        <w:jc w:val="left"/>
        <w:rPr>
          <w:rFonts w:ascii="宋体" w:hAnsi="宋体"/>
          <w:szCs w:val="21"/>
        </w:rPr>
      </w:pPr>
      <w:r>
        <w:rPr>
          <w:rFonts w:ascii="宋体" w:hAnsi="宋体"/>
          <w:szCs w:val="21"/>
        </w:rPr>
        <w:br w:type="page"/>
      </w:r>
    </w:p>
    <w:p>
      <w:pPr>
        <w:adjustRightInd w:val="0"/>
        <w:snapToGrid w:val="0"/>
        <w:spacing w:line="360" w:lineRule="auto"/>
        <w:jc w:val="left"/>
        <w:rPr>
          <w:rFonts w:ascii="宋体" w:hAnsi="宋体"/>
          <w:szCs w:val="21"/>
        </w:rPr>
      </w:pPr>
      <w:r>
        <w:rPr>
          <w:rFonts w:hint="eastAsia" w:ascii="宋体" w:hAnsi="宋体"/>
          <w:szCs w:val="21"/>
        </w:rPr>
        <w:t>附件1－2</w:t>
      </w:r>
    </w:p>
    <w:p>
      <w:pPr>
        <w:adjustRightInd w:val="0"/>
        <w:snapToGrid w:val="0"/>
        <w:spacing w:line="360" w:lineRule="auto"/>
        <w:jc w:val="left"/>
        <w:rPr>
          <w:rFonts w:ascii="宋体" w:hAnsi="宋体"/>
          <w:szCs w:val="21"/>
        </w:rPr>
      </w:pPr>
      <w:r>
        <w:drawing>
          <wp:anchor distT="0" distB="0" distL="114300" distR="114300" simplePos="0" relativeHeight="251659264" behindDoc="0" locked="0" layoutInCell="1" allowOverlap="1">
            <wp:simplePos x="0" y="0"/>
            <wp:positionH relativeFrom="column">
              <wp:posOffset>99060</wp:posOffset>
            </wp:positionH>
            <wp:positionV relativeFrom="paragraph">
              <wp:posOffset>5715</wp:posOffset>
            </wp:positionV>
            <wp:extent cx="5296535" cy="88011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98437" cy="8804289"/>
                    </a:xfrm>
                    <a:prstGeom prst="rect">
                      <a:avLst/>
                    </a:prstGeom>
                    <a:noFill/>
                    <a:ln>
                      <a:noFill/>
                    </a:ln>
                  </pic:spPr>
                </pic:pic>
              </a:graphicData>
            </a:graphic>
          </wp:anchor>
        </w:drawing>
      </w: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r>
        <w:rPr>
          <w:rFonts w:ascii="宋体" w:hAnsi="宋体"/>
          <w:szCs w:val="21"/>
        </w:rPr>
        <w:br w:type="page"/>
      </w:r>
    </w:p>
    <w:p>
      <w:pPr>
        <w:adjustRightInd w:val="0"/>
        <w:snapToGrid w:val="0"/>
        <w:spacing w:line="360" w:lineRule="auto"/>
        <w:jc w:val="left"/>
        <w:rPr>
          <w:rFonts w:ascii="宋体" w:hAnsi="宋体"/>
          <w:szCs w:val="21"/>
        </w:rPr>
      </w:pPr>
      <w:r>
        <w:rPr>
          <w:rFonts w:hint="eastAsia" w:ascii="宋体" w:hAnsi="宋体"/>
          <w:szCs w:val="21"/>
        </w:rPr>
        <w:t>附件1－3</w:t>
      </w:r>
    </w:p>
    <w:p>
      <w:pPr>
        <w:adjustRightInd w:val="0"/>
        <w:snapToGrid w:val="0"/>
        <w:spacing w:line="360" w:lineRule="auto"/>
        <w:jc w:val="center"/>
        <w:rPr>
          <w:rFonts w:ascii="宋体" w:hAnsi="宋体"/>
          <w:b/>
          <w:bCs/>
          <w:szCs w:val="21"/>
        </w:rPr>
      </w:pPr>
      <w:r>
        <w:drawing>
          <wp:inline distT="0" distB="0" distL="0" distR="0">
            <wp:extent cx="6012180" cy="474853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012180" cy="4748530"/>
                    </a:xfrm>
                    <a:prstGeom prst="rect">
                      <a:avLst/>
                    </a:prstGeom>
                    <a:noFill/>
                    <a:ln>
                      <a:noFill/>
                    </a:ln>
                  </pic:spPr>
                </pic:pic>
              </a:graphicData>
            </a:graphic>
          </wp:inline>
        </w:drawing>
      </w:r>
      <w:r>
        <w:br w:type="page"/>
      </w:r>
    </w:p>
    <w:p>
      <w:pPr>
        <w:adjustRightInd w:val="0"/>
        <w:snapToGrid w:val="0"/>
        <w:spacing w:line="360" w:lineRule="auto"/>
      </w:pPr>
      <w:r>
        <w:rPr>
          <w:rFonts w:hint="eastAsia"/>
        </w:rPr>
        <w:t>附件1-</w:t>
      </w:r>
      <w:r>
        <w:t>4</w:t>
      </w:r>
    </w:p>
    <w:p>
      <w:pPr>
        <w:adjustRightInd w:val="0"/>
        <w:snapToGrid w:val="0"/>
        <w:spacing w:line="360" w:lineRule="auto"/>
        <w:rPr>
          <w:rFonts w:ascii="宋体" w:hAnsi="宋体"/>
          <w:b/>
          <w:bCs/>
          <w:szCs w:val="21"/>
        </w:rPr>
      </w:pPr>
      <w:r>
        <w:drawing>
          <wp:inline distT="0" distB="0" distL="0" distR="0">
            <wp:extent cx="6012180" cy="2656840"/>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012180" cy="2656840"/>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15</w:t>
    </w:r>
    <w:r>
      <w:fldChar w:fldCharType="end"/>
    </w:r>
  </w:p>
  <w:p>
    <w:pPr>
      <w:pStyle w:val="3"/>
    </w:pPr>
  </w:p>
  <w:p>
    <w:pPr>
      <w:pStyle w:val="3"/>
    </w:pPr>
  </w:p>
  <w:p/>
  <w:p/>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9196ECB"/>
    <w:multiLevelType w:val="singleLevel"/>
    <w:tmpl w:val="59196ECB"/>
    <w:lvl w:ilvl="0" w:tentative="0">
      <w:start w:val="3"/>
      <w:numFmt w:val="chineseCounting"/>
      <w:suff w:val="nothing"/>
      <w:lvlText w:val="（%1）"/>
      <w:lvlJc w:val="left"/>
    </w:lvl>
  </w:abstractNum>
  <w:abstractNum w:abstractNumId="2">
    <w:nsid w:val="591970B7"/>
    <w:multiLevelType w:val="singleLevel"/>
    <w:tmpl w:val="591970B7"/>
    <w:lvl w:ilvl="0" w:tentative="0">
      <w:start w:val="1"/>
      <w:numFmt w:val="decimal"/>
      <w:suff w:val="nothing"/>
      <w:lvlText w:val="%1."/>
      <w:lvlJc w:val="left"/>
    </w:lvl>
  </w:abstractNum>
  <w:abstractNum w:abstractNumId="3">
    <w:nsid w:val="6D63B5FC"/>
    <w:multiLevelType w:val="singleLevel"/>
    <w:tmpl w:val="6D63B5FC"/>
    <w:lvl w:ilvl="0" w:tentative="0">
      <w:start w:val="1"/>
      <w:numFmt w:val="decimal"/>
      <w:suff w:val="space"/>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D6B1D"/>
    <w:rsid w:val="000465CC"/>
    <w:rsid w:val="000707F1"/>
    <w:rsid w:val="00083606"/>
    <w:rsid w:val="000A480B"/>
    <w:rsid w:val="000D6B1D"/>
    <w:rsid w:val="00100709"/>
    <w:rsid w:val="00110EFC"/>
    <w:rsid w:val="00115593"/>
    <w:rsid w:val="001434A1"/>
    <w:rsid w:val="00194B17"/>
    <w:rsid w:val="0022510B"/>
    <w:rsid w:val="0028416D"/>
    <w:rsid w:val="00286256"/>
    <w:rsid w:val="002C1EA9"/>
    <w:rsid w:val="002D3653"/>
    <w:rsid w:val="003118BD"/>
    <w:rsid w:val="003E3189"/>
    <w:rsid w:val="003E7F2C"/>
    <w:rsid w:val="004D6297"/>
    <w:rsid w:val="004F5AFF"/>
    <w:rsid w:val="00670D09"/>
    <w:rsid w:val="006D0BA9"/>
    <w:rsid w:val="00747431"/>
    <w:rsid w:val="007910F2"/>
    <w:rsid w:val="007A6F37"/>
    <w:rsid w:val="008E256C"/>
    <w:rsid w:val="008E6F96"/>
    <w:rsid w:val="00931539"/>
    <w:rsid w:val="009343FA"/>
    <w:rsid w:val="00952792"/>
    <w:rsid w:val="00973848"/>
    <w:rsid w:val="00A21059"/>
    <w:rsid w:val="00A7628F"/>
    <w:rsid w:val="00A814BB"/>
    <w:rsid w:val="00AC7FB6"/>
    <w:rsid w:val="00BB74FB"/>
    <w:rsid w:val="00BE79DA"/>
    <w:rsid w:val="00C6082C"/>
    <w:rsid w:val="00CB7089"/>
    <w:rsid w:val="00D13BB0"/>
    <w:rsid w:val="00D14FC9"/>
    <w:rsid w:val="00D25925"/>
    <w:rsid w:val="00D62EAB"/>
    <w:rsid w:val="00D74A2C"/>
    <w:rsid w:val="00DC2456"/>
    <w:rsid w:val="00ED2F8F"/>
    <w:rsid w:val="340842AA"/>
    <w:rsid w:val="498D16CD"/>
    <w:rsid w:val="5F5E661C"/>
    <w:rsid w:val="7D910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unhideWhenUsed/>
    <w:qFormat/>
    <w:uiPriority w:val="99"/>
    <w:rPr>
      <w:color w:val="800080"/>
      <w:u w:val="single"/>
    </w:rPr>
  </w:style>
  <w:style w:type="character" w:styleId="10">
    <w:name w:val="Hyperlink"/>
    <w:basedOn w:val="6"/>
    <w:unhideWhenUsed/>
    <w:qFormat/>
    <w:uiPriority w:val="99"/>
    <w:rPr>
      <w:color w:val="0000FF"/>
      <w:u w:val="single"/>
    </w:rPr>
  </w:style>
  <w:style w:type="character" w:customStyle="1" w:styleId="11">
    <w:name w:val="页脚 字符"/>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customStyle="1" w:styleId="14">
    <w:name w:val="列出段落1"/>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字符"/>
    <w:basedOn w:val="6"/>
    <w:link w:val="4"/>
    <w:qFormat/>
    <w:uiPriority w:val="99"/>
    <w:rPr>
      <w:rFonts w:ascii="Times New Roman" w:hAnsi="Times New Roman" w:eastAsia="宋体" w:cs="Times New Roman"/>
      <w:sz w:val="18"/>
      <w:szCs w:val="18"/>
    </w:rPr>
  </w:style>
  <w:style w:type="table" w:customStyle="1" w:styleId="120">
    <w:name w:val="网格型浅色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styleId="121">
    <w:name w:val="List Paragraph"/>
    <w:basedOn w:val="1"/>
    <w:qFormat/>
    <w:uiPriority w:val="99"/>
    <w:pPr>
      <w:ind w:firstLine="420" w:firstLineChars="200"/>
    </w:pPr>
  </w:style>
  <w:style w:type="table" w:customStyle="1" w:styleId="122">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123">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15</Pages>
  <Words>1256</Words>
  <Characters>7160</Characters>
  <Lines>59</Lines>
  <Paragraphs>16</Paragraphs>
  <TotalTime>1</TotalTime>
  <ScaleCrop>false</ScaleCrop>
  <LinksUpToDate>false</LinksUpToDate>
  <CharactersWithSpaces>8400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2022-11-06T12:53:00Z</dcterms:created>
  <dc:creator>Windows 用户</dc:creator>
  <cp:lastModifiedBy>Van</cp:lastModifiedBy>
  <dcterms:modified xsi:type="dcterms:W3CDTF">2022-12-13T08:27:57Z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8D395B2E4A8645049F30B9C26C6E7706</vt:lpwstr>
  </property>
  <property fmtid="{D5CDD505-2E9C-101B-9397-08002B2CF9AE}" pid="3" name="KSOProductBuildVer">
    <vt:lpwstr>2052-11.1.0.12980</vt:lpwstr>
  </property>
</Properties>
</file>