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pacing w:val="34"/>
          <w:sz w:val="84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eastAsia="黑体"/>
          <w:b/>
          <w:spacing w:val="34"/>
          <w:sz w:val="56"/>
        </w:rPr>
        <w:t>广东茂名幼儿师范专科学校</w:t>
      </w:r>
      <w:r>
        <w:rPr>
          <w:rFonts w:ascii="宋体" w:hAnsi="宋体"/>
          <w:b/>
          <w:sz w:val="24"/>
          <w:szCs w:val="32"/>
        </w:rPr>
        <w:t> 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酒店管理与数字化运营专业人才培养方案</w:t>
      </w:r>
    </w:p>
    <w:p>
      <w:pPr>
        <w:jc w:val="center"/>
        <w:rPr>
          <w:rFonts w:eastAsia="黑体"/>
          <w:b/>
          <w:sz w:val="28"/>
        </w:rPr>
      </w:pPr>
      <w:r>
        <w:rPr>
          <w:rFonts w:eastAsia="黑体"/>
          <w:b/>
          <w:sz w:val="28"/>
        </w:rPr>
        <w:t> </w:t>
      </w:r>
    </w:p>
    <w:p>
      <w:pPr>
        <w:jc w:val="center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 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 xml:space="preserve">学 </w:t>
      </w:r>
      <w:r>
        <w:rPr>
          <w:rFonts w:ascii="宋体" w:hAnsi="宋体"/>
          <w:sz w:val="32"/>
        </w:rPr>
        <w:t xml:space="preserve">        </w:t>
      </w:r>
      <w:r>
        <w:rPr>
          <w:rFonts w:hint="eastAsia" w:ascii="宋体" w:hAnsi="宋体"/>
          <w:sz w:val="32"/>
        </w:rPr>
        <w:t>院</w:t>
      </w:r>
      <w:r>
        <w:rPr>
          <w:rFonts w:ascii="宋体" w:hAnsi="宋体"/>
          <w:sz w:val="32"/>
          <w:u w:val="single"/>
        </w:rPr>
        <w:t xml:space="preserve">  </w:t>
      </w:r>
      <w:r>
        <w:rPr>
          <w:rFonts w:hint="eastAsia" w:ascii="宋体" w:hAnsi="宋体"/>
          <w:sz w:val="32"/>
          <w:u w:val="single"/>
        </w:rPr>
        <w:t xml:space="preserve">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旅游学院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 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专</w:t>
      </w:r>
      <w:r>
        <w:rPr>
          <w:rFonts w:ascii="宋体" w:hAnsi="宋体"/>
          <w:sz w:val="32"/>
        </w:rPr>
        <w:t xml:space="preserve">         业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酒店管理与数字化运营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年</w:t>
      </w:r>
      <w:r>
        <w:rPr>
          <w:rFonts w:ascii="宋体" w:hAnsi="宋体"/>
          <w:sz w:val="32"/>
        </w:rPr>
        <w:t xml:space="preserve">         级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 202</w:t>
      </w:r>
      <w:r>
        <w:rPr>
          <w:rFonts w:ascii="宋体" w:hAnsi="宋体"/>
          <w:sz w:val="32"/>
          <w:u w:val="single"/>
        </w:rPr>
        <w:t>3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制   定    人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 郭飞羽 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3" w:firstLineChars="562"/>
        <w:rPr>
          <w:rFonts w:ascii="宋体" w:hAnsi="宋体"/>
          <w:spacing w:val="-20"/>
          <w:sz w:val="32"/>
        </w:rPr>
      </w:pPr>
      <w:r>
        <w:rPr>
          <w:rFonts w:hint="eastAsia" w:ascii="宋体" w:hAnsi="宋体"/>
          <w:spacing w:val="-20"/>
          <w:sz w:val="32"/>
        </w:rPr>
        <w:t>审定人（院长）</w:t>
      </w:r>
      <w:r>
        <w:rPr>
          <w:rFonts w:ascii="宋体" w:hAnsi="宋体"/>
          <w:spacing w:val="-20"/>
          <w:sz w:val="32"/>
        </w:rPr>
        <w:t xml:space="preserve"> </w:t>
      </w:r>
      <w:r>
        <w:rPr>
          <w:rFonts w:hint="eastAsia" w:ascii="宋体" w:hAnsi="宋体"/>
          <w:spacing w:val="-20"/>
          <w:sz w:val="32"/>
          <w:u w:val="single"/>
        </w:rPr>
        <w:t xml:space="preserve"> </w:t>
      </w:r>
      <w:r>
        <w:rPr>
          <w:rFonts w:ascii="宋体" w:hAnsi="宋体"/>
          <w:spacing w:val="-20"/>
          <w:sz w:val="32"/>
          <w:u w:val="single"/>
        </w:rPr>
        <w:t xml:space="preserve">             </w:t>
      </w:r>
      <w:r>
        <w:rPr>
          <w:rFonts w:hint="eastAsia" w:ascii="宋体" w:hAnsi="宋体"/>
          <w:spacing w:val="-20"/>
          <w:sz w:val="32"/>
          <w:u w:val="single"/>
        </w:rPr>
        <w:t xml:space="preserve">          </w:t>
      </w:r>
      <w:r>
        <w:rPr>
          <w:rFonts w:ascii="宋体" w:hAnsi="宋体"/>
          <w:spacing w:val="-20"/>
          <w:sz w:val="32"/>
          <w:u w:val="single"/>
        </w:rPr>
        <w:t xml:space="preserve">  </w:t>
      </w:r>
      <w:r>
        <w:rPr>
          <w:rFonts w:hint="eastAsia" w:ascii="宋体" w:hAnsi="宋体"/>
          <w:spacing w:val="-20"/>
          <w:sz w:val="32"/>
          <w:u w:val="single"/>
        </w:rPr>
        <w:t xml:space="preserve"> </w:t>
      </w:r>
      <w:r>
        <w:rPr>
          <w:rFonts w:ascii="宋体" w:hAnsi="宋体"/>
          <w:spacing w:val="-20"/>
          <w:sz w:val="32"/>
          <w:u w:val="single"/>
        </w:rPr>
        <w:t xml:space="preserve">     </w:t>
      </w:r>
    </w:p>
    <w:p>
      <w:pPr>
        <w:tabs>
          <w:tab w:val="left" w:pos="7080"/>
        </w:tabs>
        <w:spacing w:line="900" w:lineRule="exact"/>
        <w:ind w:firstLine="1573" w:firstLineChars="605"/>
        <w:rPr>
          <w:rFonts w:ascii="宋体" w:hAnsi="宋体"/>
          <w:spacing w:val="-30"/>
          <w:sz w:val="32"/>
          <w:u w:val="single"/>
        </w:rPr>
      </w:pPr>
      <w:r>
        <w:rPr>
          <w:rFonts w:hint="eastAsia" w:ascii="宋体" w:hAnsi="宋体"/>
          <w:spacing w:val="-30"/>
          <w:sz w:val="32"/>
        </w:rPr>
        <w:t>审批人（教务部长）</w:t>
      </w:r>
      <w:r>
        <w:rPr>
          <w:rFonts w:ascii="宋体" w:hAnsi="宋体"/>
          <w:spacing w:val="-30"/>
          <w:sz w:val="32"/>
        </w:rPr>
        <w:t xml:space="preserve"> </w:t>
      </w:r>
      <w:r>
        <w:rPr>
          <w:rFonts w:hint="eastAsia" w:ascii="宋体" w:hAnsi="宋体"/>
          <w:spacing w:val="-30"/>
          <w:sz w:val="32"/>
          <w:u w:val="single"/>
        </w:rPr>
        <w:t xml:space="preserve"> </w:t>
      </w:r>
      <w:r>
        <w:rPr>
          <w:rFonts w:ascii="宋体" w:hAnsi="宋体"/>
          <w:spacing w:val="-30"/>
          <w:sz w:val="32"/>
          <w:u w:val="single"/>
        </w:rPr>
        <w:t xml:space="preserve">            </w:t>
      </w:r>
      <w:r>
        <w:rPr>
          <w:rFonts w:hint="eastAsia" w:ascii="宋体" w:hAnsi="宋体"/>
          <w:spacing w:val="-30"/>
          <w:sz w:val="32"/>
          <w:u w:val="single"/>
        </w:rPr>
        <w:t xml:space="preserve">              </w:t>
      </w:r>
      <w:r>
        <w:rPr>
          <w:rFonts w:ascii="宋体" w:hAnsi="宋体"/>
          <w:spacing w:val="-30"/>
          <w:sz w:val="32"/>
          <w:u w:val="single"/>
        </w:rPr>
        <w:t xml:space="preserve">      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主</w:t>
      </w:r>
      <w:r>
        <w:rPr>
          <w:rFonts w:ascii="宋体" w:hAnsi="宋体"/>
          <w:sz w:val="32"/>
        </w:rPr>
        <w:t xml:space="preserve"> 管 副 </w:t>
      </w:r>
      <w:r>
        <w:rPr>
          <w:rFonts w:hint="eastAsia" w:ascii="宋体" w:hAnsi="宋体"/>
          <w:sz w:val="32"/>
        </w:rPr>
        <w:t>校</w:t>
      </w:r>
      <w:r>
        <w:rPr>
          <w:rFonts w:ascii="宋体" w:hAnsi="宋体"/>
          <w:sz w:val="32"/>
        </w:rPr>
        <w:t xml:space="preserve"> 长 </w:t>
      </w:r>
      <w:r>
        <w:rPr>
          <w:rFonts w:ascii="宋体" w:hAnsi="宋体"/>
          <w:sz w:val="32"/>
          <w:u w:val="single"/>
        </w:rPr>
        <w:t xml:space="preserve">                       </w:t>
      </w:r>
    </w:p>
    <w:p>
      <w:pPr>
        <w:spacing w:after="120"/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30"/>
        </w:rPr>
        <w:t> </w:t>
      </w:r>
      <w:r>
        <w:rPr>
          <w:rFonts w:hint="eastAsia" w:ascii="宋体" w:hAnsi="宋体"/>
          <w:sz w:val="28"/>
        </w:rPr>
        <w:t> </w:t>
      </w:r>
    </w:p>
    <w:p>
      <w:pPr>
        <w:spacing w:after="120"/>
        <w:jc w:val="center"/>
        <w:rPr>
          <w:rFonts w:ascii="宋体" w:hAnsi="宋体"/>
          <w:sz w:val="28"/>
        </w:rPr>
      </w:pPr>
    </w:p>
    <w:p>
      <w:pPr>
        <w:spacing w:line="360" w:lineRule="auto"/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202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2</w:t>
      </w:r>
      <w:bookmarkStart w:id="1" w:name="_GoBack"/>
      <w:bookmarkEnd w:id="1"/>
      <w:r>
        <w:rPr>
          <w:rFonts w:hint="eastAsia" w:ascii="仿宋_GB2312" w:eastAsia="仿宋_GB2312"/>
          <w:sz w:val="36"/>
          <w:szCs w:val="36"/>
        </w:rPr>
        <w:t>年10月</w:t>
      </w: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广东茂名幼儿师范专科学校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202</w:t>
      </w: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级酒店管理与数字化运营专业人才培养方案</w:t>
      </w:r>
    </w:p>
    <w:p>
      <w:pPr>
        <w:spacing w:line="360" w:lineRule="auto"/>
        <w:ind w:firstLine="422" w:firstLineChars="200"/>
        <w:rPr>
          <w:rFonts w:ascii="宋体" w:hAnsi="宋体"/>
          <w:b/>
          <w:bCs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一、专业名称</w:t>
      </w:r>
      <w:r>
        <w:rPr>
          <w:rStyle w:val="7"/>
          <w:rFonts w:ascii="宋体" w:hAnsi="宋体"/>
          <w:szCs w:val="21"/>
        </w:rPr>
        <w:t>(</w:t>
      </w:r>
      <w:r>
        <w:rPr>
          <w:rStyle w:val="7"/>
          <w:rFonts w:hint="eastAsia" w:ascii="宋体" w:hAnsi="宋体"/>
          <w:szCs w:val="21"/>
        </w:rPr>
        <w:t>代码</w:t>
      </w:r>
      <w:r>
        <w:rPr>
          <w:rStyle w:val="7"/>
          <w:rFonts w:ascii="宋体" w:hAnsi="宋体"/>
          <w:szCs w:val="21"/>
        </w:rPr>
        <w:t>)</w:t>
      </w:r>
      <w:r>
        <w:rPr>
          <w:rStyle w:val="7"/>
          <w:rFonts w:hint="eastAsia" w:ascii="宋体" w:hAnsi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酒店管理与数字化运营(专业代码:540106)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二、入学要求</w:t>
      </w:r>
    </w:p>
    <w:p>
      <w:pPr>
        <w:spacing w:line="360" w:lineRule="auto"/>
        <w:ind w:firstLine="420" w:firstLineChars="2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</w:rPr>
        <w:t>符合三二分段中职转段考核要求的学生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三、基本修业年限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二年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四、职业面向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b/>
          <w:szCs w:val="21"/>
        </w:rPr>
        <w:t>(</w:t>
      </w:r>
      <w:r>
        <w:rPr>
          <w:rFonts w:hint="eastAsia"/>
          <w:b/>
          <w:szCs w:val="21"/>
        </w:rPr>
        <w:t>一) 职业面向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577"/>
        <w:gridCol w:w="615"/>
        <w:gridCol w:w="2742"/>
        <w:gridCol w:w="1505"/>
        <w:gridCol w:w="3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所属专业大类</w:t>
            </w:r>
          </w:p>
        </w:tc>
        <w:tc>
          <w:tcPr>
            <w:tcW w:w="0" w:type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所属专业类</w:t>
            </w:r>
          </w:p>
        </w:tc>
        <w:tc>
          <w:tcPr>
            <w:tcW w:w="0" w:type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对应行业</w:t>
            </w:r>
          </w:p>
        </w:tc>
        <w:tc>
          <w:tcPr>
            <w:tcW w:w="0" w:type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主要职业类别</w:t>
            </w:r>
          </w:p>
        </w:tc>
        <w:tc>
          <w:tcPr>
            <w:tcW w:w="0" w:type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主要岗位类别（或技术领域）举例</w:t>
            </w:r>
          </w:p>
        </w:tc>
        <w:tc>
          <w:tcPr>
            <w:tcW w:w="0" w:type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职业资格（职业技术等级）证书举例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旅游大类</w:t>
            </w:r>
          </w:p>
        </w:tc>
        <w:tc>
          <w:tcPr>
            <w:tcW w:w="0" w:type="auto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旅游类</w:t>
            </w:r>
          </w:p>
        </w:tc>
        <w:tc>
          <w:tcPr>
            <w:tcW w:w="0" w:type="auto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住宿和餐饮业</w:t>
            </w:r>
          </w:p>
        </w:tc>
        <w:tc>
          <w:tcPr>
            <w:tcW w:w="0" w:type="auto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住宿餐饮企业接待服务与运营管理人员、酒店营销与收益人员、OTA新媒体运营人员、调酒师、茶艺师、咖啡师、调饮师、门店店长</w:t>
            </w:r>
          </w:p>
        </w:tc>
        <w:tc>
          <w:tcPr>
            <w:tcW w:w="0" w:type="auto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前台接待；客房协调；销售部协调；餐厅服务；酒吧调酒</w:t>
            </w:r>
          </w:p>
        </w:tc>
        <w:tc>
          <w:tcPr>
            <w:tcW w:w="0" w:type="auto"/>
          </w:tcPr>
          <w:p>
            <w:pPr>
              <w:spacing w:line="4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北京三快在线科技有限公司颁发的酒店收益管理职业技能等级证书（中级）、中国饭店协会颁发的酒店运营管理技能等级证书（中级）、南京奥派公司颁发的新媒体技能职业等级证书</w:t>
            </w:r>
          </w:p>
        </w:tc>
      </w:tr>
    </w:tbl>
    <w:p>
      <w:pPr>
        <w:spacing w:line="360" w:lineRule="auto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(二) 职业岗位群和核心能力分析</w:t>
      </w:r>
    </w:p>
    <w:tbl>
      <w:tblPr>
        <w:tblStyle w:val="120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2562"/>
        <w:gridCol w:w="2410"/>
        <w:gridCol w:w="2126"/>
        <w:gridCol w:w="2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岗位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岗位能力要求</w:t>
            </w:r>
          </w:p>
        </w:tc>
        <w:tc>
          <w:tcPr>
            <w:tcW w:w="2410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岗位职责</w:t>
            </w:r>
          </w:p>
        </w:tc>
        <w:tc>
          <w:tcPr>
            <w:tcW w:w="2126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导出课程</w:t>
            </w:r>
          </w:p>
        </w:tc>
        <w:tc>
          <w:tcPr>
            <w:tcW w:w="2270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综合开设课程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前厅部接待服务岗位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1、掌握酒店前厅预订受理、酒店信息系统操作、英语听说、分析顾客心理等技能；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2、了解酒店客房的基本常识、服务工作程序、服务礼仪、销售客房等相关知识；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1、客房预订；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2、客房住宿登记；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3、接受客人询问的服务；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4、客人迎接与行李服务；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5、客人结帐离店服务；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6、与酒店其他部门沟通与协调</w:t>
            </w:r>
          </w:p>
        </w:tc>
        <w:tc>
          <w:tcPr>
            <w:tcW w:w="2126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《酒店管理概论》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《前厅与客房管理》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《酒店服务心理学》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《酒店营销管理》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《酒店英语》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《酒店信息系统》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《酒店综合实训》</w:t>
            </w:r>
          </w:p>
        </w:tc>
        <w:tc>
          <w:tcPr>
            <w:tcW w:w="2270" w:type="dxa"/>
            <w:vMerge w:val="restart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《酒店管理概论》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《前厅与客房管理》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《餐饮服务与管理》《酒店服务心理学》《酒店营销管理》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《新媒体营销》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《旅游电子商务》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《食品营养与卫生》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《酒店信息系统》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《酒店英语》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《酒店英语听说训练》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《酒店综合实训》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《调酒与咖啡》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《茶艺》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《旅游职业礼仪》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餐饮服务岗位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具备餐厅接待英语听说能力、餐厅服务接待技能、菜单设计、分菜服务、餐厅营销等相关知识与能力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1、餐厅、宴会接待宾客服务；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2、餐厅、宴会摆台服务工作；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3、宴会酒水服务工作；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4、分菜服务工作</w:t>
            </w:r>
          </w:p>
        </w:tc>
        <w:tc>
          <w:tcPr>
            <w:tcW w:w="2126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《餐饮服务与管理》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《宴会设计与服务》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《酒店服务心理学》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《酒店营销管理》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《酒店综合实训》</w:t>
            </w:r>
          </w:p>
        </w:tc>
        <w:tc>
          <w:tcPr>
            <w:tcW w:w="2270" w:type="dxa"/>
            <w:vMerge w:val="continue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客房部服务接待岗位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了解饭店客房卫生相关标准、客房类型及布置要求、客房部运营、客房常用品配备、会议礼仪、英语口语表达、酒店客房设备设施的配备等相关知识与能力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10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1、迎接住客前期准备；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2、客房迎接服务；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3、客房对客服务；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4、会议布置与服务；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5、对客房用品管理</w:t>
            </w:r>
          </w:p>
        </w:tc>
        <w:tc>
          <w:tcPr>
            <w:tcW w:w="2126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《</w:t>
            </w:r>
            <w:r>
              <w:rPr>
                <w:rFonts w:hint="eastAsia" w:ascii="宋体" w:hAnsi="宋体" w:cs="宋体"/>
                <w:bCs/>
                <w:szCs w:val="21"/>
              </w:rPr>
              <w:t>前厅与客房管理》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《酒店服务心理学》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《酒店管理概论》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《旅游职业礼仪》</w:t>
            </w:r>
          </w:p>
        </w:tc>
        <w:tc>
          <w:tcPr>
            <w:tcW w:w="2270" w:type="dxa"/>
            <w:vMerge w:val="continue"/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销售部岗位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1、</w:t>
            </w:r>
            <w:r>
              <w:rPr>
                <w:rFonts w:hint="eastAsia" w:ascii="宋体" w:hAnsi="宋体" w:cs="宋体"/>
                <w:bCs/>
                <w:szCs w:val="21"/>
              </w:rPr>
              <w:t>掌握</w:t>
            </w:r>
            <w:r>
              <w:rPr>
                <w:rFonts w:ascii="宋体" w:hAnsi="宋体" w:cs="宋体"/>
                <w:bCs/>
                <w:szCs w:val="21"/>
              </w:rPr>
              <w:t>酒店营销管的相关知识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2、具备细分市场并选定目标市场的知识与能力；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3、掌握市场调研方法</w:t>
            </w:r>
          </w:p>
        </w:tc>
        <w:tc>
          <w:tcPr>
            <w:tcW w:w="2410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1、酒店市场分析；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2、酒店营销计划的制定；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3、营销组合的确定；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4、酒店营销管理工作</w:t>
            </w:r>
          </w:p>
        </w:tc>
        <w:tc>
          <w:tcPr>
            <w:tcW w:w="2126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《酒店管理概述》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《酒店营销管理》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《旅游电子商务》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《新媒体</w:t>
            </w:r>
            <w:r>
              <w:rPr>
                <w:rFonts w:hint="eastAsia" w:ascii="宋体" w:hAnsi="宋体" w:cs="宋体"/>
                <w:bCs/>
                <w:szCs w:val="21"/>
              </w:rPr>
              <w:t>营销》</w:t>
            </w:r>
          </w:p>
        </w:tc>
        <w:tc>
          <w:tcPr>
            <w:tcW w:w="2270" w:type="dxa"/>
            <w:vMerge w:val="continue"/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调饮</w:t>
            </w:r>
            <w:r>
              <w:rPr>
                <w:rFonts w:hint="eastAsia" w:ascii="宋体" w:hAnsi="宋体" w:cs="宋体"/>
                <w:bCs/>
                <w:szCs w:val="21"/>
              </w:rPr>
              <w:t>师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1、食品安全意识强；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2、具有良好个人形象和卫生习惯；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3、具有饮品创新意识，擅长调酒、咖啡制作、果汁鲜榨等工作；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4、熟悉饮品基础理论及实操技能</w:t>
            </w:r>
          </w:p>
        </w:tc>
        <w:tc>
          <w:tcPr>
            <w:tcW w:w="2410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1、</w:t>
            </w:r>
            <w:r>
              <w:rPr>
                <w:rFonts w:hint="eastAsia" w:ascii="宋体" w:hAnsi="宋体" w:cs="宋体"/>
                <w:bCs/>
                <w:szCs w:val="21"/>
              </w:rPr>
              <w:t>采购工作所需要的材料；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2、</w:t>
            </w:r>
            <w:r>
              <w:rPr>
                <w:rFonts w:hint="eastAsia" w:ascii="宋体" w:hAnsi="宋体" w:cs="宋体"/>
                <w:bCs/>
                <w:szCs w:val="21"/>
              </w:rPr>
              <w:t>装饰吧台、操作台，陈设原料；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3、</w:t>
            </w:r>
            <w:r>
              <w:rPr>
                <w:rFonts w:hint="eastAsia" w:ascii="宋体" w:hAnsi="宋体" w:cs="宋体"/>
                <w:bCs/>
                <w:szCs w:val="21"/>
              </w:rPr>
              <w:t>设计调饮配方；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4、</w:t>
            </w:r>
            <w:r>
              <w:rPr>
                <w:rFonts w:hint="eastAsia" w:ascii="宋体" w:hAnsi="宋体" w:cs="宋体"/>
                <w:bCs/>
                <w:szCs w:val="21"/>
              </w:rPr>
              <w:t>调制混合茶、奶制品、咖啡、时令饮品等；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5、展示、推荐饮品</w:t>
            </w:r>
            <w:r>
              <w:rPr>
                <w:rFonts w:hint="eastAsia" w:ascii="宋体" w:hAnsi="宋体" w:cs="宋体"/>
                <w:bCs/>
                <w:szCs w:val="21"/>
              </w:rPr>
              <w:t>。</w:t>
            </w:r>
          </w:p>
        </w:tc>
        <w:tc>
          <w:tcPr>
            <w:tcW w:w="2126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《调酒与咖啡》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《食品营养与卫生》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《酒店营销管理》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《餐饮服务与管理》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《茶艺》</w:t>
            </w:r>
          </w:p>
        </w:tc>
        <w:tc>
          <w:tcPr>
            <w:tcW w:w="2270" w:type="dxa"/>
            <w:vMerge w:val="continue"/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17" w:firstLineChars="198"/>
        <w:rPr>
          <w:rStyle w:val="7"/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</w:t>
      </w:r>
      <w:r>
        <w:rPr>
          <w:rFonts w:hint="eastAsia" w:ascii="宋体" w:hAnsi="宋体"/>
          <w:szCs w:val="21"/>
        </w:rPr>
        <w:t>、</w:t>
      </w:r>
      <w:r>
        <w:rPr>
          <w:rStyle w:val="7"/>
          <w:rFonts w:hint="eastAsia" w:ascii="宋体" w:hAnsi="宋体"/>
          <w:szCs w:val="21"/>
        </w:rPr>
        <w:t>培养目标</w:t>
      </w:r>
    </w:p>
    <w:p>
      <w:pPr>
        <w:spacing w:line="360" w:lineRule="auto"/>
        <w:ind w:firstLine="415" w:firstLineChars="198"/>
        <w:rPr>
          <w:rFonts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本专业培养理想信念坚定，用习近平新时代中国特色社会主义思想武装头脑，德、智、体、美、劳全面发展，践行社会主义核心价值观，具有一定的科学文化水平，良好的人文素养、职业道德和创新意识，精益求精的工匠精神，较强的就业能力和可持续发展的能力，掌握商务礼仪、人际沟通、酒店各业务部门运营督导管理、营销收益、饮品文化等相关知识和客户接待、饮品品鉴与制作、营收数据分析与收益提升等相关技术技能，适应珠三角、茂名市酒店产业高端发展需要，面向旅游行业的住宿、餐饮、营销及旅游新媒体运营职业群，能够从事数字时代酒店接待、餐饮服务、饮品调制与创新、酒店营销、基层督导管理等工作的高素质的复合型、创新型技术技能人才。</w:t>
      </w:r>
    </w:p>
    <w:p>
      <w:pPr>
        <w:spacing w:line="360" w:lineRule="auto"/>
        <w:ind w:firstLine="417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六、</w:t>
      </w:r>
      <w:r>
        <w:rPr>
          <w:rStyle w:val="7"/>
          <w:rFonts w:hint="eastAsia" w:ascii="宋体" w:hAnsi="宋体"/>
          <w:szCs w:val="21"/>
        </w:rPr>
        <w:t>培养规格</w:t>
      </w:r>
    </w:p>
    <w:p>
      <w:pPr>
        <w:spacing w:line="400" w:lineRule="exact"/>
        <w:ind w:firstLine="435"/>
        <w:rPr>
          <w:b/>
        </w:rPr>
      </w:pPr>
      <w:r>
        <w:rPr>
          <w:rFonts w:hint="eastAsia"/>
          <w:b/>
        </w:rPr>
        <w:t>（一）素质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思想政治素质：树立马克思主义的世界观、人生观、价值观，拥护中国共产党的领导，拥护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社会主义制度，热爱祖国，热爱中华民族，具有中国特色社会主义道路自信、理论自信、制度自信、文化自信，积极践行社会主义核心价值观。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文化素质：具有融合传统文化精华、当代中西文化潮流的宽阔视野;文理交融的科学思维能力和科学精神;具有适应社会核心价值体系的审美立场和方法能力。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职业素质：具有良好的职业态度和职业道德修养，具有正确的择业观和创业观。坚持职业操守，爱岗敬业、诚实守信、办事公道、服务群众、奉献社会;具备从事职业活动所必需的基本能力和管理素质:脚踏实地、严谨求实、勇于创新、具备工匠精神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身心素质：具有一定的体育运动和生理卫生知识，养成锻炼身体、讲究卫生的良好习惯，掌握一定的运动技能，达到国家规定的体育健康标准;具有坚韧不拔的毅力、积极乐观的态度、良好的人际关系、健全的人格品质。</w:t>
      </w:r>
    </w:p>
    <w:p>
      <w:pPr>
        <w:spacing w:line="400" w:lineRule="exact"/>
        <w:ind w:firstLine="316" w:firstLineChars="150"/>
        <w:rPr>
          <w:b/>
        </w:rPr>
      </w:pPr>
      <w:r>
        <w:rPr>
          <w:rFonts w:hint="eastAsia"/>
          <w:b/>
        </w:rPr>
        <w:t xml:space="preserve">（二）知识 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掌握本专业培养目标所要求的基础理论知识、专业知识和技能；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具备酒店经营管理新观念、新理论、新技术的能力；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掌握酒店业前厅、餐饮、客房服务与运营管理的基本理论以及安全、卫生相关知识；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掌握酒店信息化应用、OTA及旅游新媒体运营、酒店基层督导管理等专业技能；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b/>
        </w:rPr>
      </w:pPr>
      <w:r>
        <w:rPr>
          <w:rFonts w:hint="eastAsia" w:ascii="宋体" w:hAnsi="宋体"/>
          <w:szCs w:val="21"/>
        </w:rPr>
        <w:t>掌握良好的沟通、服务礼仪、旅游服务心理等基础知识基本素质。</w:t>
      </w:r>
    </w:p>
    <w:p>
      <w:pPr>
        <w:numPr>
          <w:ilvl w:val="0"/>
          <w:numId w:val="3"/>
        </w:numPr>
        <w:ind w:firstLine="316" w:firstLineChars="150"/>
        <w:rPr>
          <w:b/>
        </w:rPr>
      </w:pPr>
      <w:r>
        <w:rPr>
          <w:rFonts w:hint="eastAsia"/>
          <w:b/>
        </w:rPr>
        <w:t>能力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具备探究学习、终身学习、分析问题和解决问题的能力；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具有良好的语言、文字表达能力和社交沟通能力，具备一定的英语听说、读写能力，熟练使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用常用职业英语，并能进行一般业务沟通的能力；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具备创新意识，能创造性地开展工作，满足宾客个性化要求的能力；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具备酒店前厅、客房、餐厅、酒吧、会展等业务部门的职业技能操作方法和操作规范，并具备从事高级服务的能力；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具备计算机、酒店信息系统、OTA运营及新媒体运营的基本操作与应用的能力；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具备餐饮店、茶吧、酒吧、咖啡吧等餐饮企业开店的初步创业能力的能力；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具备行业发展趋势判断能力。</w:t>
      </w: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七、毕业要求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1．毕业要求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（1）毕业总学分不得低于152学分，必修学分131学分，选修学分不低于21学分。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（2）项目替代学分。比赛获奖、考证、参加项目开发等根据专业认定可以替换专业非核心岗位课程学分。替换学分不得超过20学分。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校期间参与项目开发每周可替换非专业核心课1学分，但累计不得超过10学分；参与专业技能竞赛最多可替换非专业核心课5学分（省级一等奖、二等奖、三等奖分别可替换3学分、2学分、1学分；国家级一等奖、二等奖、三等奖分别可替换5学分、4学分、3学分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158"/>
        <w:gridCol w:w="6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626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可替换学分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技能竞赛类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教育行政主管部门组织的竞赛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其他行业协会或社会组织的竞赛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校级技能竞赛一等奖以上可替换0.5学分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项目开发类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自主实施的项目开发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提供合作企业证明文件、工商登记证明等有效证明文件由专业负责人认定可替换学分。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参与老师组织的项目开发，由专业负责人和项目主持老师认定可替换学分，原则上参加2周替换1学分。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职业资格证书类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人力资源和社会保障系统职业资格证书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取得中级工可替换1学分，高级工可替换2学分，技师级可替换6学分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驾照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取得驾驶证可替换2学分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发明专利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发明专利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发明专利</w:t>
            </w:r>
            <w:r>
              <w:rPr>
                <w:rFonts w:hint="eastAsia" w:ascii="宋体" w:hAnsi="宋体"/>
                <w:szCs w:val="21"/>
              </w:rPr>
              <w:t>可替换8学分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实用新型专利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实用新型专利</w:t>
            </w:r>
            <w:r>
              <w:rPr>
                <w:rFonts w:hint="eastAsia" w:ascii="宋体" w:hAnsi="宋体"/>
                <w:szCs w:val="21"/>
              </w:rPr>
              <w:t>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外观设计专利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外观设计专利</w:t>
            </w:r>
            <w:r>
              <w:rPr>
                <w:rFonts w:hint="eastAsia" w:ascii="宋体" w:hAnsi="宋体"/>
                <w:szCs w:val="21"/>
              </w:rPr>
              <w:t>可替换4学分</w:t>
            </w:r>
          </w:p>
        </w:tc>
      </w:tr>
    </w:tbl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2．考证要求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(1)导游证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(2)酒店收益管理证书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(3)现代酒店服务质量管理职业技能等级证书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(4)餐饮管理运营职业技能等级证书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(5)酒店运营管理职业技能等级证书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七、课程设置及学时安排</w:t>
      </w:r>
    </w:p>
    <w:p>
      <w:pPr>
        <w:spacing w:line="360" w:lineRule="exact"/>
        <w:ind w:firstLine="420"/>
        <w:outlineLvl w:val="0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（一）课程设置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主要包括公共基础课程和专业课程。</w:t>
      </w:r>
    </w:p>
    <w:p>
      <w:pPr>
        <w:numPr>
          <w:ilvl w:val="0"/>
          <w:numId w:val="5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公共基础课程一般包括思想政治理论课、军事课、大学英语、体育、心理健康、就业指导、创新创业、职业素质等方面的课程或专题讲座（活动）。</w:t>
      </w:r>
    </w:p>
    <w:p>
      <w:pPr>
        <w:numPr>
          <w:ilvl w:val="0"/>
          <w:numId w:val="5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课一般包括专业基础课程、专业核心课程、专业拓展课程，并涵盖有关实践性教学环节。专业课分三个岗位方向，分别为对客接待服务岗位、酒店新媒体运营岗位、饮品调制岗位，不同岗位核心课程不同。学生可以根据自己的个性特点选择对应岗位。学生在第二学期末进行岗位的选择，从第三学期开始按所选岗位进行上课。</w:t>
      </w:r>
    </w:p>
    <w:p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专业基础课程举例：管理学基础、服务礼仪、服务心理学、酒店英语、酒店管理概论等。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专业核心课程举例：饭店前厅与客房管理、餐饮服务与管理、酒店营销管理、酒店管理信息系统、酒店人力资源管理、酒店财务管理等。</w:t>
      </w:r>
    </w:p>
    <w:p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专业拓展课举例：旅游大数据、研学旅游、旅游景区规划与开发等。</w:t>
      </w:r>
    </w:p>
    <w:p>
      <w:pPr>
        <w:numPr>
          <w:ilvl w:val="0"/>
          <w:numId w:val="5"/>
        </w:num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专业核心课程名称及主要教学内容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127"/>
        <w:gridCol w:w="6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2127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专业核心课名称</w:t>
            </w:r>
          </w:p>
        </w:tc>
        <w:tc>
          <w:tcPr>
            <w:tcW w:w="6538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主要教学内容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饭店前厅与客房管理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前厅服务与管理:构建前厅管理体系:前厅预订服务与管理;前厅接待服务与</w:t>
            </w:r>
          </w:p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管理;前厅综合服务管理:宾客关系管理。客房业务基础、客房清扫;对客服务、公共区域清洁保养;布草房与洗衣房运转、客房部组织管理;客房部质量管理、客房部费用控制、客房部安全管理等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餐饮服务与管理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餐饮行业发展概况、餐饮从业人员职业素养;餐饮服务基本技能、菜肴和酒</w:t>
            </w:r>
          </w:p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水知识:由西餐服务流程和服务技巧、宴会服务;菜单设计、中西餐厅督导管理技巧；市场分析与经营定位、餐厅布局与设计;餐厅组织与服务规范、经营产品设计;经营物资筹措、经营管理规范建立;市场推广策划、经营预算与成本管</w:t>
            </w:r>
          </w:p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酒店营销管理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酒店市场营销原理、酒店营销信息系统及调研;酒店客源市场及其细分;酒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店产品设计、酒店产品定价;酒店营销渠道选择与管理;酒店营销活动策划、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市场营销活动管理与预算等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酒店管理信息系统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酒店信息技术基础、PMS 系统概要:客史管理、预订销售;前台收银、夜宙</w:t>
            </w:r>
          </w:p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与日审;价格体系管理、宴会销售系统等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酒店人力资源管理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酒店人力资源管理概述、酒店工作分析;员工招聘与配置、酒店员工培训与开发;酒店绩效管理、薪酬管理;员工劳动关系管理等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酒店基层督导管理</w:t>
            </w:r>
          </w:p>
        </w:tc>
        <w:tc>
          <w:tcPr>
            <w:tcW w:w="6538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酒店业务部门各岗位工作流程制定:业务部门的服务质量标准制定;业务部门作绩效标准体系建立;基层员工的培训技巧训练:时间管理项目训练:员工激励与团队建设。</w:t>
            </w:r>
          </w:p>
        </w:tc>
      </w:tr>
    </w:tbl>
    <w:p>
      <w:pPr>
        <w:spacing w:line="400" w:lineRule="exact"/>
        <w:rPr>
          <w:rFonts w:ascii="宋体" w:hAnsi="宋体"/>
          <w:b/>
        </w:rPr>
      </w:pP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实践性教学环节主要包括顶岗实习、软件开发项目实训、社会实践、毕业项目综合实训、创新创业实践等。</w:t>
      </w: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(二) 学时安排</w:t>
      </w:r>
    </w:p>
    <w:p>
      <w:pPr>
        <w:spacing w:line="400" w:lineRule="exact"/>
        <w:ind w:firstLine="42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本专业总学时为1633学时，其中实践性教学学时为690学时，占总学时的57.75% 。其中，顶岗实习为六个月，约252学时。</w:t>
      </w: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drawing>
          <wp:inline distT="0" distB="0" distL="0" distR="0">
            <wp:extent cx="5492750" cy="2838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27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十、教学基本条件</w:t>
      </w: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（一）教师队伍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1.专任教师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专任教师一览表</w:t>
      </w:r>
    </w:p>
    <w:tbl>
      <w:tblPr>
        <w:tblStyle w:val="5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73"/>
        <w:gridCol w:w="545"/>
        <w:gridCol w:w="992"/>
        <w:gridCol w:w="1282"/>
        <w:gridCol w:w="1091"/>
        <w:gridCol w:w="144"/>
        <w:gridCol w:w="1032"/>
        <w:gridCol w:w="672"/>
        <w:gridCol w:w="419"/>
        <w:gridCol w:w="1175"/>
        <w:gridCol w:w="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bookmarkStart w:id="0" w:name="_Hlk116888481"/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职称、职务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学历学位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是否双师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冼周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副教授、院长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彭章宏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讲师、副院长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谢红虹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讲师、综合办公室主任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李德伟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黄寿佳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战赤嘉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黄琳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郭飞羽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王颖君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黎思琪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吴志丽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李知恒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李超斌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杨思雅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江尉昀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严丽璇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高级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中级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2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7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12.5%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37.5%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6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年龄结构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35岁以下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35-45岁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45岁以上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1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0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56.25%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25%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18.75%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博士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硕士（含在读）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75%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10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双师素质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  <w:tc>
          <w:tcPr>
            <w:tcW w:w="22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1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0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行业企业经历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</w:t>
            </w:r>
          </w:p>
        </w:tc>
        <w:tc>
          <w:tcPr>
            <w:tcW w:w="22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4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bookmarkEnd w:id="0"/>
    </w:tbl>
    <w:p>
      <w:pPr>
        <w:spacing w:line="4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2.兼职教师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酒店管理与数字化运营专业还聘请了企业经验丰富的兼职老师，负责本专业的部分实践教学。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兼职教师一览表</w:t>
      </w:r>
    </w:p>
    <w:tbl>
      <w:tblPr>
        <w:tblStyle w:val="5"/>
        <w:tblW w:w="96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390"/>
        <w:gridCol w:w="4568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张宝琳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佛山皇冠假日酒店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人力资源总监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黄志刚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佛山皇冠假日酒店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餐饮部总监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3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刘雁洋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广州天河希尔顿酒店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培训与发展经理</w:t>
            </w:r>
          </w:p>
        </w:tc>
      </w:tr>
    </w:tbl>
    <w:p>
      <w:pPr>
        <w:spacing w:line="360" w:lineRule="auto"/>
        <w:outlineLvl w:val="0"/>
        <w:rPr>
          <w:rStyle w:val="7"/>
          <w:rFonts w:ascii="宋体" w:hAnsi="宋体"/>
          <w:b w:val="0"/>
          <w:szCs w:val="21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（二）教学设施</w:t>
      </w:r>
    </w:p>
    <w:p>
      <w:pPr>
        <w:spacing w:line="420" w:lineRule="exact"/>
        <w:ind w:firstLine="420" w:firstLineChars="200"/>
        <w:rPr>
          <w:rFonts w:ascii="宋体" w:hAnsi="宋体"/>
          <w:bCs/>
          <w:position w:val="6"/>
        </w:rPr>
      </w:pPr>
      <w:r>
        <w:rPr>
          <w:rFonts w:hint="eastAsia" w:ascii="宋体" w:hAnsi="宋体"/>
          <w:bCs/>
          <w:position w:val="6"/>
        </w:rPr>
        <w:t>本专业有校内实训基地五个，分别是茶艺实训室、调酒与咖啡实训室、客房实训室、礼仪实训室、酒店综合实训室，电脑实训室有一个，可以提供所有上机实训。校外实训基地八个，可以提供学生校外真实项目实训。</w:t>
      </w:r>
    </w:p>
    <w:p>
      <w:pPr>
        <w:spacing w:line="420" w:lineRule="exact"/>
        <w:ind w:firstLine="420" w:firstLineChars="20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bCs/>
          <w:position w:val="6"/>
        </w:rPr>
        <w:t>校内实训基地一览表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516"/>
        <w:gridCol w:w="708"/>
        <w:gridCol w:w="2268"/>
        <w:gridCol w:w="1737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实训室名称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位置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教学科目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实验设备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茶艺实训室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茂实B307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《茶艺》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六大茶类冲泡器具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茶叶识别、冲泡等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调酒与咖啡实训室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茂实B307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《调酒与咖啡》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咖啡研磨、冲煮器具；各类酒水品鉴与调制器具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咖啡豆的鉴别、研磨、制作；咖啡的品鉴；鸡尾酒调制与创新等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酒店综合实训室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茂实B305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《酒店综合实训》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餐台、餐具、工作台等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前厅接待、宴会台面设计、宴会菜单设计等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客房实训室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荟文2-419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《酒店综合实训》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床、床头柜、床上用品等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客房清洁、客房接待等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礼仪实训室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茂实B319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《酒店服务礼仪》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形体镜、化妆台等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形象塑造、体态训练等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酒店信息系统实训室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茂实B312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《酒店信息系统》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电脑、酒店前台系统等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酒店信息系统概述与运用等</w:t>
            </w:r>
          </w:p>
        </w:tc>
      </w:tr>
    </w:tbl>
    <w:p>
      <w:pPr>
        <w:spacing w:line="420" w:lineRule="exact"/>
        <w:rPr>
          <w:rFonts w:ascii="宋体" w:hAnsi="宋体"/>
          <w:position w:val="6"/>
        </w:rPr>
      </w:pPr>
    </w:p>
    <w:p>
      <w:pPr>
        <w:spacing w:line="420" w:lineRule="exact"/>
        <w:ind w:left="42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position w:val="6"/>
        </w:rPr>
        <w:t>校外实训基地一览表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665"/>
        <w:gridCol w:w="57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名称/合作企业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主要实训内容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广州长隆酒店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珠海长隆酒店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佛山皇冠假日酒店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4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惠州皇冠假日酒店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5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清远狮子湖喜来登酒店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6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广州天河希尔顿酒店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7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顺德保利假日酒店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8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东莞富力万达文化酒店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</w:tbl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（三）教学资源</w:t>
      </w:r>
    </w:p>
    <w:p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教材选用有关基本要求：要有教材选用制度，优先从国家和省两级规划教材目录中选用教材，鼓励与行业企业合作开发特色鲜明的专业课校本教材。</w:t>
      </w:r>
    </w:p>
    <w:p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图书配备有关基本要求：要有足够数量的，能满足教师学习、教师专业教学研究和教学实施的图书库。</w:t>
      </w:r>
    </w:p>
    <w:p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建设、配备与本专业有关的音视频素材、教学课件、数字化教学案例库、虚拟仿真软件、数字教材等专业教学咨源库，应种类丰富、形式多样、使用便捷、动态更新，能满足教学要求。。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</w:p>
    <w:p>
      <w:pPr>
        <w:spacing w:line="400" w:lineRule="exact"/>
        <w:ind w:firstLine="421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九、质量保障</w:t>
      </w:r>
    </w:p>
    <w:p>
      <w:pPr>
        <w:spacing w:line="400" w:lineRule="exact"/>
        <w:ind w:firstLine="421"/>
        <w:rPr>
          <w:rFonts w:ascii="宋体" w:hAnsi="宋体"/>
          <w:b/>
          <w:szCs w:val="21"/>
        </w:rPr>
      </w:pPr>
      <w:r>
        <w:rPr>
          <w:rFonts w:hint="eastAsia" w:ascii="宋体" w:hAnsi="宋体"/>
          <w:bCs/>
          <w:szCs w:val="21"/>
        </w:rPr>
        <w:t>（一）需遵循专业建设和教学过程质量监控机制，主要课程以企业标准进行课程评价，对教学主要环节要有严格的质量要求和标准，对教学实施、过程监控、质量评价要进行有效的管理，以达成人才培养规格。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专业尝试“学分替换”制改革。所谓“学分替换”制，是指学生可以通过参与实际项目开发、相关竞赛等方式来替换非核心课程的学分。学生可以通过参加考证、项目开发、职业技能大赛、发明创造等来获取并替换课程学分，从而可以申请免修相关的课程。“学分替换”的实施需要预先申请，需根据比赛及项目的内容而确定可替换哪门课程，在经过专业考核通过之后，方可免修并替换相关课程学分。总替换学分不超过20学分。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其中，学分替换规则如下表所示：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60"/>
        <w:gridCol w:w="6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625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可替换学分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技能竞赛类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教育行政主管部门组织的竞赛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其他行业协会或社会组织的竞赛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校级竞赛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校级技能竞赛一等奖以上可替换0.5学分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项目开发类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自主实施的项目开发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提供合作企业证明文件、工商登记证明等有效证明文件由专业负责人认定可替换学分,每学期累计不得超过8学分。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参与老师组织的项目开发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参与老师组织的项目开发，由专业负责人和项目主持老师认定可替换学分，原则上参加2周替换1学分。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职业资格证书类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人力资源和社会保障系统职业资格证书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取得中级工可替换1学分，高级工可替换2学分，技师级可替换6学分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发明专利类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发明专利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发明专利</w:t>
            </w:r>
            <w:r>
              <w:rPr>
                <w:rFonts w:hint="eastAsia" w:ascii="宋体" w:hAnsi="宋体"/>
                <w:sz w:val="18"/>
                <w:szCs w:val="18"/>
              </w:rPr>
              <w:t>可替换8学分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实用新型专利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实用新型专利</w:t>
            </w:r>
            <w:r>
              <w:rPr>
                <w:rFonts w:hint="eastAsia" w:ascii="宋体" w:hAnsi="宋体"/>
                <w:sz w:val="18"/>
                <w:szCs w:val="18"/>
              </w:rPr>
              <w:t>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外观设计专利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外观设计专利</w:t>
            </w:r>
            <w:r>
              <w:rPr>
                <w:rFonts w:hint="eastAsia" w:ascii="宋体" w:hAnsi="宋体"/>
                <w:sz w:val="18"/>
                <w:szCs w:val="18"/>
              </w:rPr>
              <w:t>可替换4学分</w:t>
            </w:r>
          </w:p>
        </w:tc>
      </w:tr>
    </w:tbl>
    <w:p>
      <w:pPr>
        <w:spacing w:line="400" w:lineRule="exact"/>
        <w:rPr>
          <w:rFonts w:ascii="宋体" w:hAnsi="宋体"/>
          <w:szCs w:val="21"/>
        </w:rPr>
      </w:pP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（二）建立健全巡课和听课制度，严明教学纪律和课堂纪律，对日常教学组织加强管理。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（三）建立毕业生跟踪反馈机制和社会评价机制，定期评价人才培养质量和培养目标的达成情况。</w:t>
      </w:r>
    </w:p>
    <w:p>
      <w:pPr>
        <w:adjustRightInd w:val="0"/>
        <w:snapToGrid w:val="0"/>
        <w:spacing w:before="156" w:beforeLines="50"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（四）要充分利用评价分析结构有效改进专业教学，加强专业建设，持续提高人才培养质量。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spacing w:line="360" w:lineRule="exact"/>
        <w:outlineLvl w:val="0"/>
        <w:rPr>
          <w:rFonts w:ascii="仿宋_GB2312"/>
        </w:rPr>
      </w:pPr>
      <w:r>
        <w:rPr>
          <w:rFonts w:hint="eastAsia" w:ascii="宋体" w:hAnsi="宋体" w:cs="宋体"/>
          <w:b/>
        </w:rPr>
        <w:t>十、教学进程安排</w:t>
      </w:r>
    </w:p>
    <w:p>
      <w:pPr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      </w:t>
      </w:r>
      <w:r>
        <w:rPr>
          <w:rFonts w:hint="eastAsia" w:ascii="宋体" w:hAnsi="宋体"/>
          <w:szCs w:val="21"/>
        </w:rPr>
        <w:t>1．理论与实践教学分配及比例表（见附件1－1）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2.综合素质课教学进程表（见附件1－2）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3.专业课教学进程表（见附件1－3）</w:t>
      </w:r>
    </w:p>
    <w:p>
      <w:pPr>
        <w:adjustRightInd w:val="0"/>
        <w:snapToGrid w:val="0"/>
        <w:spacing w:line="360" w:lineRule="auto"/>
        <w:ind w:firstLine="735" w:firstLineChars="3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4．实践课教学进程表（见附件1－4）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附件1-</w:t>
      </w:r>
      <w:r>
        <w:rPr>
          <w:rFonts w:ascii="宋体" w:hAnsi="宋体"/>
          <w:b/>
          <w:bCs/>
          <w:szCs w:val="21"/>
        </w:rPr>
        <w:t>1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drawing>
          <wp:inline distT="0" distB="0" distL="0" distR="0">
            <wp:extent cx="5492750" cy="3225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275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附件1－2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drawing>
          <wp:inline distT="0" distB="0" distL="0" distR="0">
            <wp:extent cx="6012180" cy="777875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777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附件1－3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6012180" cy="6677660"/>
            <wp:effectExtent l="0" t="0" r="762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667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  <w:rPr>
          <w:rFonts w:hint="eastAsia"/>
        </w:rPr>
      </w:pPr>
    </w:p>
    <w:p>
      <w:pPr>
        <w:adjustRightInd w:val="0"/>
        <w:snapToGrid w:val="0"/>
        <w:spacing w:line="360" w:lineRule="auto"/>
      </w:pPr>
      <w:r>
        <w:rPr>
          <w:rFonts w:hint="eastAsia"/>
        </w:rPr>
        <w:t>附件1-</w:t>
      </w:r>
      <w:r>
        <w:t>4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drawing>
          <wp:inline distT="0" distB="0" distL="0" distR="0">
            <wp:extent cx="6012180" cy="289941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289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footerReference r:id="rId4" w:type="even"/>
      <w:pgSz w:w="11906" w:h="16838"/>
      <w:pgMar w:top="1247" w:right="1304" w:bottom="1247" w:left="113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14</w:t>
    </w:r>
    <w:r>
      <w:fldChar w:fldCharType="end"/>
    </w:r>
  </w:p>
  <w:p>
    <w:pPr>
      <w:pStyle w:val="3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7A6D68"/>
    <w:multiLevelType w:val="multilevel"/>
    <w:tmpl w:val="1E7A6D68"/>
    <w:lvl w:ilvl="0" w:tentative="0">
      <w:start w:val="1"/>
      <w:numFmt w:val="decimal"/>
      <w:lvlText w:val="(%1)"/>
      <w:lvlJc w:val="left"/>
      <w:pPr>
        <w:ind w:left="0" w:firstLine="420"/>
      </w:pPr>
      <w:rPr>
        <w:rFonts w:hint="eastAsia"/>
        <w:b w:val="0"/>
        <w:bCs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DF10E96"/>
    <w:multiLevelType w:val="multilevel"/>
    <w:tmpl w:val="3DF10E96"/>
    <w:lvl w:ilvl="0" w:tentative="0">
      <w:start w:val="1"/>
      <w:numFmt w:val="decimal"/>
      <w:lvlText w:val="(%1)"/>
      <w:lvlJc w:val="left"/>
      <w:pPr>
        <w:ind w:left="0" w:firstLine="41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56" w:hanging="420"/>
      </w:pPr>
    </w:lvl>
    <w:lvl w:ilvl="2" w:tentative="0">
      <w:start w:val="1"/>
      <w:numFmt w:val="lowerRoman"/>
      <w:lvlText w:val="%3."/>
      <w:lvlJc w:val="right"/>
      <w:pPr>
        <w:ind w:left="1676" w:hanging="420"/>
      </w:pPr>
    </w:lvl>
    <w:lvl w:ilvl="3" w:tentative="0">
      <w:start w:val="1"/>
      <w:numFmt w:val="decimal"/>
      <w:lvlText w:val="%4."/>
      <w:lvlJc w:val="left"/>
      <w:pPr>
        <w:ind w:left="2096" w:hanging="420"/>
      </w:pPr>
    </w:lvl>
    <w:lvl w:ilvl="4" w:tentative="0">
      <w:start w:val="1"/>
      <w:numFmt w:val="lowerLetter"/>
      <w:lvlText w:val="%5)"/>
      <w:lvlJc w:val="left"/>
      <w:pPr>
        <w:ind w:left="2516" w:hanging="420"/>
      </w:pPr>
    </w:lvl>
    <w:lvl w:ilvl="5" w:tentative="0">
      <w:start w:val="1"/>
      <w:numFmt w:val="lowerRoman"/>
      <w:lvlText w:val="%6."/>
      <w:lvlJc w:val="right"/>
      <w:pPr>
        <w:ind w:left="2936" w:hanging="420"/>
      </w:pPr>
    </w:lvl>
    <w:lvl w:ilvl="6" w:tentative="0">
      <w:start w:val="1"/>
      <w:numFmt w:val="decimal"/>
      <w:lvlText w:val="%7."/>
      <w:lvlJc w:val="left"/>
      <w:pPr>
        <w:ind w:left="3356" w:hanging="420"/>
      </w:pPr>
    </w:lvl>
    <w:lvl w:ilvl="7" w:tentative="0">
      <w:start w:val="1"/>
      <w:numFmt w:val="lowerLetter"/>
      <w:lvlText w:val="%8)"/>
      <w:lvlJc w:val="left"/>
      <w:pPr>
        <w:ind w:left="3776" w:hanging="420"/>
      </w:pPr>
    </w:lvl>
    <w:lvl w:ilvl="8" w:tentative="0">
      <w:start w:val="1"/>
      <w:numFmt w:val="lowerRoman"/>
      <w:lvlText w:val="%9."/>
      <w:lvlJc w:val="right"/>
      <w:pPr>
        <w:ind w:left="4196" w:hanging="420"/>
      </w:pPr>
    </w:lvl>
  </w:abstractNum>
  <w:abstractNum w:abstractNumId="2">
    <w:nsid w:val="3F112440"/>
    <w:multiLevelType w:val="multilevel"/>
    <w:tmpl w:val="3F112440"/>
    <w:lvl w:ilvl="0" w:tentative="0">
      <w:start w:val="1"/>
      <w:numFmt w:val="decimal"/>
      <w:lvlText w:val="(%1)"/>
      <w:lvlJc w:val="left"/>
      <w:pPr>
        <w:ind w:left="0" w:firstLine="420"/>
      </w:pPr>
      <w:rPr>
        <w:rFonts w:hint="eastAsia"/>
        <w:b w:val="0"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9196ECB"/>
    <w:multiLevelType w:val="singleLevel"/>
    <w:tmpl w:val="59196ECB"/>
    <w:lvl w:ilvl="0" w:tentative="0">
      <w:start w:val="3"/>
      <w:numFmt w:val="chineseCounting"/>
      <w:suff w:val="nothing"/>
      <w:lvlText w:val="（%1）"/>
      <w:lvlJc w:val="left"/>
    </w:lvl>
  </w:abstractNum>
  <w:abstractNum w:abstractNumId="4">
    <w:nsid w:val="591970B7"/>
    <w:multiLevelType w:val="singleLevel"/>
    <w:tmpl w:val="591970B7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59197911"/>
    <w:multiLevelType w:val="singleLevel"/>
    <w:tmpl w:val="5919791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ZjMjdlOWI1MzA5Mzc3NGMxOGE2Y2I5M2QxOTFjZDQifQ=="/>
  </w:docVars>
  <w:rsids>
    <w:rsidRoot w:val="0000374C"/>
    <w:rsid w:val="0000374C"/>
    <w:rsid w:val="00010AB9"/>
    <w:rsid w:val="00056410"/>
    <w:rsid w:val="000927CB"/>
    <w:rsid w:val="000A5D7B"/>
    <w:rsid w:val="000B32B3"/>
    <w:rsid w:val="000C6341"/>
    <w:rsid w:val="000E319B"/>
    <w:rsid w:val="000F0BBD"/>
    <w:rsid w:val="000F4257"/>
    <w:rsid w:val="00104D78"/>
    <w:rsid w:val="00121EFC"/>
    <w:rsid w:val="00137827"/>
    <w:rsid w:val="00156228"/>
    <w:rsid w:val="0018207D"/>
    <w:rsid w:val="001C7678"/>
    <w:rsid w:val="001D5513"/>
    <w:rsid w:val="001D68C5"/>
    <w:rsid w:val="00207C41"/>
    <w:rsid w:val="00210CBC"/>
    <w:rsid w:val="002407B8"/>
    <w:rsid w:val="002548D4"/>
    <w:rsid w:val="00256FF1"/>
    <w:rsid w:val="00284406"/>
    <w:rsid w:val="002E435D"/>
    <w:rsid w:val="00330AF3"/>
    <w:rsid w:val="0033501F"/>
    <w:rsid w:val="003538F6"/>
    <w:rsid w:val="00383AC9"/>
    <w:rsid w:val="00387013"/>
    <w:rsid w:val="003870C7"/>
    <w:rsid w:val="00396300"/>
    <w:rsid w:val="003B356E"/>
    <w:rsid w:val="004021BF"/>
    <w:rsid w:val="004259A5"/>
    <w:rsid w:val="00432736"/>
    <w:rsid w:val="00450677"/>
    <w:rsid w:val="0046709D"/>
    <w:rsid w:val="004915C1"/>
    <w:rsid w:val="00495F34"/>
    <w:rsid w:val="004B238E"/>
    <w:rsid w:val="004C7AEB"/>
    <w:rsid w:val="004E11E8"/>
    <w:rsid w:val="004F4585"/>
    <w:rsid w:val="00512169"/>
    <w:rsid w:val="00524BF5"/>
    <w:rsid w:val="005A2CC8"/>
    <w:rsid w:val="005A4DD0"/>
    <w:rsid w:val="005C0109"/>
    <w:rsid w:val="005D31CD"/>
    <w:rsid w:val="005E1795"/>
    <w:rsid w:val="0060152A"/>
    <w:rsid w:val="006070E8"/>
    <w:rsid w:val="00633F37"/>
    <w:rsid w:val="00651883"/>
    <w:rsid w:val="006C36C8"/>
    <w:rsid w:val="006C7C43"/>
    <w:rsid w:val="00710444"/>
    <w:rsid w:val="0071504A"/>
    <w:rsid w:val="007919BB"/>
    <w:rsid w:val="00795C71"/>
    <w:rsid w:val="007A61DE"/>
    <w:rsid w:val="007B4B52"/>
    <w:rsid w:val="007C6412"/>
    <w:rsid w:val="007D28AD"/>
    <w:rsid w:val="007E1AAC"/>
    <w:rsid w:val="007F5BA0"/>
    <w:rsid w:val="008119F5"/>
    <w:rsid w:val="00816E69"/>
    <w:rsid w:val="008214C9"/>
    <w:rsid w:val="008464E8"/>
    <w:rsid w:val="008825AF"/>
    <w:rsid w:val="008B6685"/>
    <w:rsid w:val="008F4A3E"/>
    <w:rsid w:val="008F590C"/>
    <w:rsid w:val="00923060"/>
    <w:rsid w:val="00927297"/>
    <w:rsid w:val="009427E6"/>
    <w:rsid w:val="00984BBF"/>
    <w:rsid w:val="009B6DC1"/>
    <w:rsid w:val="009C6276"/>
    <w:rsid w:val="009E49CC"/>
    <w:rsid w:val="00A24AB0"/>
    <w:rsid w:val="00A313D1"/>
    <w:rsid w:val="00A34C98"/>
    <w:rsid w:val="00A74478"/>
    <w:rsid w:val="00A93D93"/>
    <w:rsid w:val="00AB0D47"/>
    <w:rsid w:val="00AD5A90"/>
    <w:rsid w:val="00B06BCD"/>
    <w:rsid w:val="00B136BE"/>
    <w:rsid w:val="00B2542E"/>
    <w:rsid w:val="00B80B7B"/>
    <w:rsid w:val="00BA6ADB"/>
    <w:rsid w:val="00BB7C09"/>
    <w:rsid w:val="00BD58D5"/>
    <w:rsid w:val="00C37769"/>
    <w:rsid w:val="00C53EFF"/>
    <w:rsid w:val="00C8722E"/>
    <w:rsid w:val="00CA4650"/>
    <w:rsid w:val="00CA603F"/>
    <w:rsid w:val="00CB7A43"/>
    <w:rsid w:val="00CD23E0"/>
    <w:rsid w:val="00CD492D"/>
    <w:rsid w:val="00CF140E"/>
    <w:rsid w:val="00D675CC"/>
    <w:rsid w:val="00D8475D"/>
    <w:rsid w:val="00D87D7A"/>
    <w:rsid w:val="00DB4CC2"/>
    <w:rsid w:val="00DB711A"/>
    <w:rsid w:val="00DE07A2"/>
    <w:rsid w:val="00E046AB"/>
    <w:rsid w:val="00E615B8"/>
    <w:rsid w:val="00E66872"/>
    <w:rsid w:val="00E86489"/>
    <w:rsid w:val="00E95666"/>
    <w:rsid w:val="00EC6F44"/>
    <w:rsid w:val="00EF3EC3"/>
    <w:rsid w:val="00F11B55"/>
    <w:rsid w:val="00F379E5"/>
    <w:rsid w:val="00F420B6"/>
    <w:rsid w:val="00F7144F"/>
    <w:rsid w:val="00FB51F5"/>
    <w:rsid w:val="00FB52E1"/>
    <w:rsid w:val="00FB6EF8"/>
    <w:rsid w:val="00FC6950"/>
    <w:rsid w:val="515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styleId="9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脚 字符"/>
    <w:link w:val="3"/>
    <w:qFormat/>
    <w:uiPriority w:val="99"/>
    <w:rPr>
      <w:sz w:val="18"/>
      <w:szCs w:val="18"/>
    </w:rPr>
  </w:style>
  <w:style w:type="character" w:customStyle="1" w:styleId="12">
    <w:name w:val="页脚 Char1"/>
    <w:basedOn w:val="6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1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0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1">
    <w:name w:val="font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font1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4">
    <w:name w:val="font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65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7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8">
    <w:name w:val="xl68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xl69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70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xl71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2">
    <w:name w:val="xl72"/>
    <w:basedOn w:val="1"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3">
    <w:name w:val="xl73"/>
    <w:basedOn w:val="1"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4">
    <w:name w:val="xl74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6">
    <w:name w:val="xl76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9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0">
    <w:name w:val="xl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1">
    <w:name w:val="xl8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2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xl8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xl8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5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6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7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xl8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49">
    <w:name w:val="xl8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0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1">
    <w:name w:val="xl9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2">
    <w:name w:val="xl92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93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54">
    <w:name w:val="xl94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5">
    <w:name w:val="xl95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6">
    <w:name w:val="xl96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57">
    <w:name w:val="xl97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9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9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0">
    <w:name w:val="xl1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10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2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3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10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10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6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7">
    <w:name w:val="xl107"/>
    <w:basedOn w:val="1"/>
    <w:uiPriority w:val="0"/>
    <w:pPr>
      <w:widowControl/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10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11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xl11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72">
    <w:name w:val="xl11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4">
    <w:name w:val="xl11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xl11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6">
    <w:name w:val="xl11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7">
    <w:name w:val="xl11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8">
    <w:name w:val="xl11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9">
    <w:name w:val="xl11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0">
    <w:name w:val="xl120"/>
    <w:basedOn w:val="1"/>
    <w:uiPriority w:val="0"/>
    <w:pPr>
      <w:widowControl/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1">
    <w:name w:val="xl12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2">
    <w:name w:val="xl12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3">
    <w:name w:val="xl1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8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5">
    <w:name w:val="xl1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86">
    <w:name w:val="xl126"/>
    <w:basedOn w:val="1"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88">
    <w:name w:val="xl128"/>
    <w:basedOn w:val="1"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9">
    <w:name w:val="xl1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0">
    <w:name w:val="xl1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1">
    <w:name w:val="xl131"/>
    <w:basedOn w:val="1"/>
    <w:uiPriority w:val="0"/>
    <w:pPr>
      <w:widowControl/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2">
    <w:name w:val="xl13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3">
    <w:name w:val="xl1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4">
    <w:name w:val="xl1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95">
    <w:name w:val="xl1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96">
    <w:name w:val="xl1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2DCDB"/>
      <w:kern w:val="0"/>
      <w:sz w:val="18"/>
      <w:szCs w:val="18"/>
    </w:rPr>
  </w:style>
  <w:style w:type="paragraph" w:customStyle="1" w:styleId="97">
    <w:name w:val="xl13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8">
    <w:name w:val="xl13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9">
    <w:name w:val="xl13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0">
    <w:name w:val="xl140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1">
    <w:name w:val="xl1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02">
    <w:name w:val="xl1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4F81BD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3">
    <w:name w:val="xl1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4">
    <w:name w:val="xl144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5">
    <w:name w:val="xl145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6">
    <w:name w:val="xl146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7">
    <w:name w:val="xl14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8">
    <w:name w:val="xl14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9">
    <w:name w:val="xl14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0">
    <w:name w:val="xl1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1">
    <w:name w:val="xl151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2">
    <w:name w:val="xl15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3">
    <w:name w:val="xl153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4">
    <w:name w:val="xl154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115">
    <w:name w:val="xl155"/>
    <w:basedOn w:val="1"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6">
    <w:name w:val="xl156"/>
    <w:basedOn w:val="1"/>
    <w:uiPriority w:val="0"/>
    <w:pPr>
      <w:widowControl/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117">
    <w:name w:val="xl15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18">
    <w:name w:val="xl1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character" w:customStyle="1" w:styleId="119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0">
    <w:name w:val="Grid Table Light"/>
    <w:basedOn w:val="5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emf"/><Relationship Id="rId7" Type="http://schemas.openxmlformats.org/officeDocument/2006/relationships/image" Target="media/image2.emf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shenduxitong</Company>
  <Pages>15</Pages>
  <Words>7043</Words>
  <Characters>7185</Characters>
  <Lines>57</Lines>
  <Paragraphs>16</Paragraphs>
  <TotalTime>19</TotalTime>
  <ScaleCrop>false</ScaleCrop>
  <LinksUpToDate>false</LinksUpToDate>
  <CharactersWithSpaces>7400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2022-11-18T03:32:00Z</dcterms:created>
  <dc:creator>Windows 用户</dc:creator>
  <cp:lastModifiedBy>Van</cp:lastModifiedBy>
  <cp:lastPrinted>2022-11-07T08:40:00Z</cp:lastPrinted>
  <dcterms:modified xsi:type="dcterms:W3CDTF">2022-12-14T01:21:41Z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9EB7DA7A41F64EAA83354BC63DC45A95</vt:lpwstr>
  </property>
</Properties>
</file>