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b/>
          <w:spacing w:val="34"/>
          <w:sz w:val="84"/>
        </w:rPr>
      </w:pPr>
    </w:p>
    <w:p>
      <w:pPr>
        <w:jc w:val="center"/>
        <w:rPr>
          <w:rFonts w:ascii="宋体" w:hAnsi="宋体"/>
          <w:b/>
          <w:sz w:val="32"/>
          <w:szCs w:val="32"/>
        </w:rPr>
      </w:pPr>
      <w:r>
        <w:rPr>
          <w:rFonts w:hint="eastAsia" w:eastAsia="黑体"/>
          <w:b/>
          <w:spacing w:val="34"/>
          <w:sz w:val="56"/>
        </w:rPr>
        <w:t>广东茂名幼儿师范专科学校</w:t>
      </w:r>
      <w:r>
        <w:rPr>
          <w:rFonts w:ascii="宋体" w:hAnsi="宋体"/>
          <w:b/>
          <w:sz w:val="24"/>
          <w:szCs w:val="32"/>
        </w:rPr>
        <w:t> </w:t>
      </w:r>
    </w:p>
    <w:p>
      <w:pPr>
        <w:jc w:val="center"/>
        <w:rPr>
          <w:rFonts w:ascii="宋体" w:hAnsi="宋体"/>
          <w:b/>
          <w:sz w:val="32"/>
          <w:szCs w:val="32"/>
        </w:rPr>
      </w:pPr>
    </w:p>
    <w:p>
      <w:pPr>
        <w:jc w:val="center"/>
        <w:rPr>
          <w:rFonts w:ascii="宋体" w:hAnsi="宋体"/>
          <w:b/>
          <w:sz w:val="32"/>
          <w:szCs w:val="32"/>
        </w:rPr>
      </w:pPr>
      <w:r>
        <w:rPr>
          <w:rFonts w:hint="eastAsia" w:ascii="宋体" w:hAnsi="宋体"/>
          <w:b/>
          <w:sz w:val="32"/>
          <w:szCs w:val="32"/>
        </w:rPr>
        <w:t>大数据与财务管理专业人才培养方案</w:t>
      </w:r>
    </w:p>
    <w:p>
      <w:pPr>
        <w:jc w:val="center"/>
        <w:rPr>
          <w:rFonts w:eastAsia="黑体"/>
          <w:b/>
          <w:sz w:val="28"/>
        </w:rPr>
      </w:pPr>
      <w:r>
        <w:rPr>
          <w:rFonts w:eastAsia="黑体"/>
          <w:b/>
          <w:sz w:val="28"/>
        </w:rPr>
        <w:t> </w:t>
      </w:r>
    </w:p>
    <w:p>
      <w:pPr>
        <w:jc w:val="center"/>
        <w:rPr>
          <w:rFonts w:ascii="宋体" w:hAnsi="宋体"/>
          <w:sz w:val="30"/>
        </w:rPr>
      </w:pPr>
      <w:r>
        <w:rPr>
          <w:rFonts w:hint="eastAsia" w:ascii="宋体" w:hAnsi="宋体"/>
          <w:sz w:val="30"/>
        </w:rPr>
        <w:t> </w:t>
      </w:r>
    </w:p>
    <w:p>
      <w:pPr>
        <w:tabs>
          <w:tab w:val="left" w:pos="7080"/>
        </w:tabs>
        <w:spacing w:line="900" w:lineRule="exact"/>
        <w:ind w:firstLine="1574" w:firstLineChars="492"/>
        <w:rPr>
          <w:rFonts w:ascii="宋体" w:hAnsi="宋体"/>
          <w:sz w:val="32"/>
          <w:u w:val="single"/>
        </w:rPr>
      </w:pPr>
      <w:r>
        <w:rPr>
          <w:rFonts w:hint="eastAsia" w:ascii="宋体" w:hAnsi="宋体"/>
          <w:sz w:val="32"/>
        </w:rPr>
        <w:t xml:space="preserve">学 </w:t>
      </w:r>
      <w:r>
        <w:rPr>
          <w:rFonts w:ascii="宋体" w:hAnsi="宋体"/>
          <w:sz w:val="32"/>
        </w:rPr>
        <w:t xml:space="preserve">        </w:t>
      </w:r>
      <w:r>
        <w:rPr>
          <w:rFonts w:hint="eastAsia" w:ascii="宋体" w:hAnsi="宋体"/>
          <w:sz w:val="32"/>
        </w:rPr>
        <w:t>院</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财经学院   </w:t>
      </w:r>
      <w:r>
        <w:rPr>
          <w:rFonts w:ascii="宋体" w:hAnsi="宋体"/>
          <w:sz w:val="32"/>
          <w:u w:val="single"/>
        </w:rPr>
        <w:t xml:space="preserve"> </w:t>
      </w:r>
      <w:r>
        <w:rPr>
          <w:rFonts w:hint="eastAsia" w:ascii="宋体" w:hAnsi="宋体"/>
          <w:sz w:val="32"/>
          <w:u w:val="single"/>
        </w:rPr>
        <w:t xml:space="preserve">     </w:t>
      </w:r>
    </w:p>
    <w:p>
      <w:pPr>
        <w:tabs>
          <w:tab w:val="left" w:pos="7080"/>
        </w:tabs>
        <w:spacing w:line="900" w:lineRule="exact"/>
        <w:ind w:firstLine="1574" w:firstLineChars="492"/>
        <w:rPr>
          <w:rFonts w:ascii="宋体" w:hAnsi="宋体"/>
          <w:sz w:val="32"/>
          <w:u w:val="single"/>
        </w:rPr>
      </w:pPr>
      <w:r>
        <w:rPr>
          <w:rFonts w:hint="eastAsia" w:ascii="宋体" w:hAnsi="宋体"/>
          <w:sz w:val="32"/>
        </w:rPr>
        <w:t>专</w:t>
      </w:r>
      <w:r>
        <w:rPr>
          <w:rFonts w:ascii="宋体" w:hAnsi="宋体"/>
          <w:sz w:val="32"/>
        </w:rPr>
        <w:t xml:space="preserve">         业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大数据与财务管理</w:t>
      </w:r>
      <w:r>
        <w:rPr>
          <w:rFonts w:ascii="宋体" w:hAnsi="宋体"/>
          <w:sz w:val="32"/>
          <w:u w:val="single"/>
        </w:rPr>
        <w:t xml:space="preserve"> </w:t>
      </w:r>
    </w:p>
    <w:p>
      <w:pPr>
        <w:tabs>
          <w:tab w:val="left" w:pos="7080"/>
        </w:tabs>
        <w:spacing w:line="900" w:lineRule="exact"/>
        <w:ind w:firstLine="1574" w:firstLineChars="492"/>
        <w:rPr>
          <w:rFonts w:ascii="宋体" w:hAnsi="宋体"/>
          <w:sz w:val="32"/>
          <w:u w:val="single"/>
        </w:rPr>
      </w:pPr>
      <w:r>
        <w:rPr>
          <w:rFonts w:hint="eastAsia" w:ascii="宋体" w:hAnsi="宋体"/>
          <w:sz w:val="32"/>
        </w:rPr>
        <w:t>年</w:t>
      </w:r>
      <w:r>
        <w:rPr>
          <w:rFonts w:ascii="宋体" w:hAnsi="宋体"/>
          <w:sz w:val="32"/>
        </w:rPr>
        <w:t xml:space="preserve">         级 </w:t>
      </w:r>
      <w:r>
        <w:rPr>
          <w:rFonts w:ascii="宋体" w:hAnsi="宋体"/>
          <w:sz w:val="32"/>
          <w:u w:val="single"/>
        </w:rPr>
        <w:t xml:space="preserve">   </w:t>
      </w:r>
      <w:r>
        <w:rPr>
          <w:rFonts w:hint="eastAsia" w:ascii="宋体" w:hAnsi="宋体"/>
          <w:sz w:val="32"/>
          <w:u w:val="single"/>
        </w:rPr>
        <w:t xml:space="preserve">     202</w:t>
      </w:r>
      <w:r>
        <w:rPr>
          <w:rFonts w:ascii="宋体" w:hAnsi="宋体"/>
          <w:sz w:val="32"/>
          <w:u w:val="single"/>
        </w:rPr>
        <w:t>3</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p>
    <w:p>
      <w:pPr>
        <w:tabs>
          <w:tab w:val="left" w:pos="7080"/>
        </w:tabs>
        <w:spacing w:line="900" w:lineRule="exact"/>
        <w:ind w:firstLine="1574" w:firstLineChars="492"/>
        <w:rPr>
          <w:rFonts w:ascii="宋体" w:hAnsi="宋体"/>
          <w:sz w:val="32"/>
        </w:rPr>
      </w:pPr>
      <w:r>
        <w:rPr>
          <w:rFonts w:hint="eastAsia" w:ascii="宋体" w:hAnsi="宋体"/>
          <w:sz w:val="32"/>
        </w:rPr>
        <w:t xml:space="preserve">制   定    人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p>
    <w:p>
      <w:pPr>
        <w:tabs>
          <w:tab w:val="left" w:pos="7080"/>
        </w:tabs>
        <w:spacing w:line="900" w:lineRule="exact"/>
        <w:ind w:firstLine="1573" w:firstLineChars="562"/>
        <w:rPr>
          <w:rFonts w:ascii="宋体" w:hAnsi="宋体"/>
          <w:spacing w:val="-20"/>
          <w:sz w:val="32"/>
        </w:rPr>
      </w:pPr>
      <w:r>
        <w:rPr>
          <w:rFonts w:hint="eastAsia" w:ascii="宋体" w:hAnsi="宋体"/>
          <w:spacing w:val="-20"/>
          <w:sz w:val="32"/>
        </w:rPr>
        <w:t>审定人（院长）</w:t>
      </w:r>
      <w:r>
        <w:rPr>
          <w:rFonts w:ascii="宋体" w:hAnsi="宋体"/>
          <w:spacing w:val="-20"/>
          <w:sz w:val="32"/>
        </w:rPr>
        <w:t xml:space="preserve"> </w:t>
      </w:r>
      <w:r>
        <w:rPr>
          <w:rFonts w:hint="eastAsia" w:ascii="宋体" w:hAnsi="宋体"/>
          <w:spacing w:val="-20"/>
          <w:sz w:val="32"/>
          <w:u w:val="single"/>
        </w:rPr>
        <w:t xml:space="preserve">签名（盖章）          </w:t>
      </w:r>
      <w:r>
        <w:rPr>
          <w:rFonts w:ascii="宋体" w:hAnsi="宋体"/>
          <w:spacing w:val="-20"/>
          <w:sz w:val="32"/>
          <w:u w:val="single"/>
        </w:rPr>
        <w:t xml:space="preserve">  </w:t>
      </w:r>
      <w:r>
        <w:rPr>
          <w:rFonts w:hint="eastAsia" w:ascii="宋体" w:hAnsi="宋体"/>
          <w:spacing w:val="-20"/>
          <w:sz w:val="32"/>
          <w:u w:val="single"/>
        </w:rPr>
        <w:t xml:space="preserve"> </w:t>
      </w:r>
      <w:r>
        <w:rPr>
          <w:rFonts w:ascii="宋体" w:hAnsi="宋体"/>
          <w:spacing w:val="-20"/>
          <w:sz w:val="32"/>
          <w:u w:val="single"/>
        </w:rPr>
        <w:t xml:space="preserve">     </w:t>
      </w:r>
    </w:p>
    <w:p>
      <w:pPr>
        <w:tabs>
          <w:tab w:val="left" w:pos="7080"/>
        </w:tabs>
        <w:spacing w:line="900" w:lineRule="exact"/>
        <w:ind w:firstLine="1573" w:firstLineChars="605"/>
        <w:rPr>
          <w:rFonts w:ascii="宋体" w:hAnsi="宋体"/>
          <w:spacing w:val="-30"/>
          <w:sz w:val="32"/>
          <w:u w:val="single"/>
        </w:rPr>
      </w:pPr>
      <w:r>
        <w:rPr>
          <w:rFonts w:hint="eastAsia" w:ascii="宋体" w:hAnsi="宋体"/>
          <w:spacing w:val="-30"/>
          <w:sz w:val="32"/>
        </w:rPr>
        <w:t>审批人（教务部长）</w:t>
      </w:r>
      <w:r>
        <w:rPr>
          <w:rFonts w:ascii="宋体" w:hAnsi="宋体"/>
          <w:spacing w:val="-30"/>
          <w:sz w:val="32"/>
        </w:rPr>
        <w:t xml:space="preserve"> </w:t>
      </w:r>
      <w:r>
        <w:rPr>
          <w:rFonts w:hint="eastAsia" w:ascii="宋体" w:hAnsi="宋体"/>
          <w:spacing w:val="-30"/>
          <w:sz w:val="32"/>
          <w:u w:val="single"/>
        </w:rPr>
        <w:t xml:space="preserve">签名（盖章）              </w:t>
      </w:r>
      <w:r>
        <w:rPr>
          <w:rFonts w:ascii="宋体" w:hAnsi="宋体"/>
          <w:spacing w:val="-30"/>
          <w:sz w:val="32"/>
          <w:u w:val="single"/>
        </w:rPr>
        <w:t xml:space="preserve">        </w:t>
      </w:r>
    </w:p>
    <w:p>
      <w:pPr>
        <w:tabs>
          <w:tab w:val="left" w:pos="7080"/>
        </w:tabs>
        <w:spacing w:line="900" w:lineRule="exact"/>
        <w:ind w:firstLine="1574" w:firstLineChars="492"/>
        <w:rPr>
          <w:rFonts w:ascii="宋体" w:hAnsi="宋体"/>
          <w:sz w:val="32"/>
          <w:u w:val="single"/>
        </w:rPr>
      </w:pPr>
      <w:r>
        <w:rPr>
          <w:rFonts w:hint="eastAsia" w:ascii="宋体" w:hAnsi="宋体"/>
          <w:sz w:val="32"/>
        </w:rPr>
        <w:t>主</w:t>
      </w:r>
      <w:r>
        <w:rPr>
          <w:rFonts w:ascii="宋体" w:hAnsi="宋体"/>
          <w:sz w:val="32"/>
        </w:rPr>
        <w:t xml:space="preserve"> 管 副 </w:t>
      </w:r>
      <w:r>
        <w:rPr>
          <w:rFonts w:hint="eastAsia" w:ascii="宋体" w:hAnsi="宋体"/>
          <w:sz w:val="32"/>
        </w:rPr>
        <w:t>校</w:t>
      </w:r>
      <w:r>
        <w:rPr>
          <w:rFonts w:ascii="宋体" w:hAnsi="宋体"/>
          <w:sz w:val="32"/>
        </w:rPr>
        <w:t xml:space="preserve"> 长 </w:t>
      </w:r>
      <w:r>
        <w:rPr>
          <w:rFonts w:ascii="宋体" w:hAnsi="宋体"/>
          <w:sz w:val="32"/>
          <w:u w:val="single"/>
        </w:rPr>
        <w:t xml:space="preserve">                        </w:t>
      </w:r>
    </w:p>
    <w:p>
      <w:pPr>
        <w:spacing w:after="120"/>
        <w:jc w:val="center"/>
        <w:rPr>
          <w:rFonts w:ascii="宋体" w:hAnsi="宋体"/>
          <w:sz w:val="28"/>
        </w:rPr>
      </w:pPr>
      <w:r>
        <w:rPr>
          <w:rFonts w:hint="eastAsia" w:ascii="宋体" w:hAnsi="宋体"/>
          <w:sz w:val="30"/>
        </w:rPr>
        <w:t> </w:t>
      </w:r>
      <w:r>
        <w:rPr>
          <w:rFonts w:hint="eastAsia" w:ascii="宋体" w:hAnsi="宋体"/>
          <w:sz w:val="28"/>
        </w:rPr>
        <w:t> </w:t>
      </w:r>
    </w:p>
    <w:p>
      <w:pPr>
        <w:spacing w:after="120"/>
        <w:jc w:val="center"/>
        <w:rPr>
          <w:rFonts w:ascii="宋体" w:hAnsi="宋体"/>
          <w:sz w:val="28"/>
        </w:rPr>
      </w:pPr>
    </w:p>
    <w:p>
      <w:pPr>
        <w:spacing w:line="360" w:lineRule="auto"/>
        <w:jc w:val="center"/>
        <w:rPr>
          <w:rFonts w:ascii="仿宋_GB2312" w:hAnsi="宋体" w:eastAsia="仿宋_GB2312"/>
          <w:b/>
          <w:sz w:val="36"/>
          <w:szCs w:val="36"/>
        </w:rPr>
      </w:pPr>
      <w:r>
        <w:rPr>
          <w:rFonts w:hint="eastAsia" w:ascii="仿宋_GB2312" w:eastAsia="仿宋_GB2312"/>
          <w:sz w:val="36"/>
          <w:szCs w:val="36"/>
        </w:rPr>
        <w:t>202</w:t>
      </w:r>
      <w:r>
        <w:rPr>
          <w:rFonts w:hint="eastAsia" w:ascii="仿宋_GB2312" w:eastAsia="仿宋_GB2312"/>
          <w:sz w:val="36"/>
          <w:szCs w:val="36"/>
          <w:lang w:val="en-US" w:eastAsia="zh-CN"/>
        </w:rPr>
        <w:t>2</w:t>
      </w:r>
      <w:bookmarkStart w:id="3" w:name="_GoBack"/>
      <w:bookmarkEnd w:id="3"/>
      <w:r>
        <w:rPr>
          <w:rFonts w:hint="eastAsia" w:ascii="仿宋_GB2312" w:eastAsia="仿宋_GB2312"/>
          <w:sz w:val="36"/>
          <w:szCs w:val="36"/>
        </w:rPr>
        <w:t>年10月</w:t>
      </w:r>
    </w:p>
    <w:p>
      <w:pPr>
        <w:jc w:val="center"/>
        <w:rPr>
          <w:rFonts w:ascii="宋体" w:hAnsi="宋体"/>
          <w:b/>
          <w:sz w:val="28"/>
          <w:szCs w:val="28"/>
        </w:rPr>
      </w:pPr>
    </w:p>
    <w:p>
      <w:pPr>
        <w:jc w:val="center"/>
        <w:rPr>
          <w:rFonts w:ascii="宋体" w:hAnsi="宋体"/>
          <w:b/>
          <w:sz w:val="28"/>
          <w:szCs w:val="28"/>
        </w:rPr>
      </w:pPr>
    </w:p>
    <w:p>
      <w:pPr>
        <w:jc w:val="center"/>
        <w:rPr>
          <w:rFonts w:ascii="宋体" w:hAnsi="宋体"/>
          <w:b/>
          <w:sz w:val="28"/>
          <w:szCs w:val="28"/>
        </w:rPr>
      </w:pPr>
      <w:r>
        <w:rPr>
          <w:rFonts w:hint="eastAsia" w:ascii="宋体" w:hAnsi="宋体"/>
          <w:b/>
          <w:sz w:val="28"/>
          <w:szCs w:val="28"/>
        </w:rPr>
        <w:t>广东茂名幼儿师范专科学校</w:t>
      </w:r>
    </w:p>
    <w:p>
      <w:pPr>
        <w:jc w:val="center"/>
        <w:rPr>
          <w:rFonts w:ascii="宋体" w:hAnsi="宋体"/>
          <w:b/>
          <w:sz w:val="28"/>
          <w:szCs w:val="28"/>
        </w:rPr>
      </w:pPr>
      <w:r>
        <w:rPr>
          <w:rFonts w:hint="eastAsia" w:ascii="宋体" w:hAnsi="宋体"/>
          <w:b/>
          <w:sz w:val="28"/>
          <w:szCs w:val="28"/>
        </w:rPr>
        <w:t>202</w:t>
      </w:r>
      <w:r>
        <w:rPr>
          <w:rFonts w:ascii="宋体" w:hAnsi="宋体"/>
          <w:b/>
          <w:sz w:val="28"/>
          <w:szCs w:val="28"/>
        </w:rPr>
        <w:t>3</w:t>
      </w:r>
      <w:r>
        <w:rPr>
          <w:rFonts w:hint="eastAsia" w:ascii="宋体" w:hAnsi="宋体"/>
          <w:b/>
          <w:sz w:val="28"/>
          <w:szCs w:val="28"/>
        </w:rPr>
        <w:t>级大数据与财务管理专业人才培养方案</w:t>
      </w:r>
    </w:p>
    <w:p>
      <w:pPr>
        <w:spacing w:line="360" w:lineRule="auto"/>
        <w:ind w:firstLine="422" w:firstLineChars="200"/>
        <w:rPr>
          <w:rFonts w:ascii="宋体" w:hAnsi="宋体"/>
          <w:b/>
          <w:bCs/>
          <w:szCs w:val="21"/>
        </w:rPr>
      </w:pPr>
    </w:p>
    <w:p>
      <w:pPr>
        <w:spacing w:line="360" w:lineRule="auto"/>
        <w:ind w:firstLine="422" w:firstLineChars="200"/>
        <w:rPr>
          <w:rStyle w:val="8"/>
          <w:rFonts w:ascii="宋体" w:hAnsi="宋体"/>
          <w:szCs w:val="21"/>
        </w:rPr>
      </w:pPr>
      <w:r>
        <w:rPr>
          <w:rStyle w:val="8"/>
          <w:rFonts w:hint="eastAsia" w:ascii="宋体" w:hAnsi="宋体"/>
          <w:szCs w:val="21"/>
        </w:rPr>
        <w:t>一、专业名称</w:t>
      </w:r>
      <w:r>
        <w:rPr>
          <w:rStyle w:val="8"/>
          <w:rFonts w:ascii="宋体" w:hAnsi="宋体"/>
          <w:szCs w:val="21"/>
        </w:rPr>
        <w:t>(</w:t>
      </w:r>
      <w:r>
        <w:rPr>
          <w:rStyle w:val="8"/>
          <w:rFonts w:hint="eastAsia" w:ascii="宋体" w:hAnsi="宋体"/>
          <w:szCs w:val="21"/>
        </w:rPr>
        <w:t>代码</w:t>
      </w:r>
      <w:r>
        <w:rPr>
          <w:rStyle w:val="8"/>
          <w:rFonts w:ascii="宋体" w:hAnsi="宋体"/>
          <w:szCs w:val="21"/>
        </w:rPr>
        <w:t>)</w:t>
      </w:r>
      <w:r>
        <w:rPr>
          <w:rStyle w:val="8"/>
          <w:rFonts w:hint="eastAsia" w:ascii="宋体" w:hAnsi="宋体"/>
          <w:szCs w:val="21"/>
        </w:rPr>
        <w:t xml:space="preserve"> </w:t>
      </w:r>
    </w:p>
    <w:p>
      <w:pPr>
        <w:spacing w:line="360" w:lineRule="auto"/>
        <w:ind w:firstLine="420" w:firstLineChars="200"/>
        <w:rPr>
          <w:szCs w:val="21"/>
        </w:rPr>
      </w:pPr>
      <w:r>
        <w:rPr>
          <w:rFonts w:hint="eastAsia"/>
          <w:szCs w:val="21"/>
        </w:rPr>
        <w:tab/>
      </w:r>
      <w:r>
        <w:rPr>
          <w:rFonts w:hint="eastAsia"/>
          <w:szCs w:val="21"/>
        </w:rPr>
        <w:t>大数据与财务管理（</w:t>
      </w:r>
      <w:r>
        <w:rPr>
          <w:szCs w:val="21"/>
        </w:rPr>
        <w:t>530301</w:t>
      </w:r>
      <w:r>
        <w:rPr>
          <w:rFonts w:hint="eastAsia"/>
          <w:szCs w:val="21"/>
        </w:rPr>
        <w:t>）</w:t>
      </w:r>
    </w:p>
    <w:p>
      <w:pPr>
        <w:spacing w:line="360" w:lineRule="auto"/>
        <w:ind w:firstLine="422" w:firstLineChars="200"/>
        <w:rPr>
          <w:rStyle w:val="8"/>
          <w:rFonts w:ascii="宋体" w:hAnsi="宋体"/>
          <w:szCs w:val="21"/>
        </w:rPr>
      </w:pPr>
      <w:r>
        <w:rPr>
          <w:rStyle w:val="8"/>
          <w:rFonts w:hint="eastAsia" w:ascii="宋体" w:hAnsi="宋体"/>
          <w:szCs w:val="21"/>
        </w:rPr>
        <w:t>二、入学要求</w:t>
      </w:r>
    </w:p>
    <w:p>
      <w:pPr>
        <w:spacing w:line="360" w:lineRule="auto"/>
        <w:ind w:firstLine="420" w:firstLineChars="200"/>
        <w:rPr>
          <w:rStyle w:val="8"/>
          <w:rFonts w:ascii="宋体" w:hAnsi="宋体"/>
          <w:szCs w:val="21"/>
        </w:rPr>
      </w:pPr>
      <w:r>
        <w:rPr>
          <w:rFonts w:hint="eastAsia"/>
          <w:szCs w:val="21"/>
        </w:rPr>
        <w:tab/>
      </w:r>
      <w:r>
        <w:rPr>
          <w:rFonts w:hint="eastAsia"/>
        </w:rPr>
        <w:t>普通高级中学毕业、中等职业学校毕业或具备同等学力</w:t>
      </w:r>
    </w:p>
    <w:p>
      <w:pPr>
        <w:spacing w:line="360" w:lineRule="auto"/>
        <w:ind w:firstLine="422" w:firstLineChars="200"/>
        <w:rPr>
          <w:rStyle w:val="8"/>
          <w:rFonts w:ascii="宋体" w:hAnsi="宋体"/>
          <w:szCs w:val="21"/>
        </w:rPr>
      </w:pPr>
      <w:r>
        <w:rPr>
          <w:rStyle w:val="8"/>
          <w:rFonts w:hint="eastAsia" w:ascii="宋体" w:hAnsi="宋体"/>
          <w:szCs w:val="21"/>
        </w:rPr>
        <w:t>三、基本修业年限</w:t>
      </w:r>
    </w:p>
    <w:p>
      <w:pPr>
        <w:spacing w:line="360" w:lineRule="auto"/>
        <w:ind w:firstLine="420" w:firstLineChars="200"/>
        <w:rPr>
          <w:szCs w:val="21"/>
        </w:rPr>
      </w:pPr>
      <w:r>
        <w:rPr>
          <w:rFonts w:hint="eastAsia"/>
          <w:szCs w:val="21"/>
        </w:rPr>
        <w:tab/>
      </w:r>
      <w:r>
        <w:rPr>
          <w:rFonts w:hint="eastAsia"/>
          <w:szCs w:val="21"/>
        </w:rPr>
        <w:t>三年</w:t>
      </w:r>
    </w:p>
    <w:p>
      <w:pPr>
        <w:spacing w:line="360" w:lineRule="auto"/>
        <w:ind w:firstLine="422" w:firstLineChars="200"/>
        <w:rPr>
          <w:b/>
          <w:szCs w:val="21"/>
        </w:rPr>
      </w:pPr>
      <w:r>
        <w:rPr>
          <w:rFonts w:hint="eastAsia"/>
          <w:b/>
          <w:szCs w:val="21"/>
        </w:rPr>
        <w:t>四、职业面向</w:t>
      </w:r>
    </w:p>
    <w:p>
      <w:pPr>
        <w:spacing w:line="360" w:lineRule="auto"/>
        <w:ind w:firstLine="422" w:firstLineChars="200"/>
        <w:rPr>
          <w:b/>
          <w:szCs w:val="21"/>
        </w:rPr>
      </w:pPr>
      <w:r>
        <w:rPr>
          <w:b/>
          <w:szCs w:val="21"/>
        </w:rPr>
        <w:t>(</w:t>
      </w:r>
      <w:r>
        <w:rPr>
          <w:rFonts w:hint="eastAsia"/>
          <w:b/>
          <w:szCs w:val="21"/>
        </w:rPr>
        <w:t>一) 职业面向</w:t>
      </w:r>
    </w:p>
    <w:p>
      <w:pPr>
        <w:spacing w:line="360" w:lineRule="auto"/>
        <w:ind w:firstLine="422" w:firstLineChars="200"/>
        <w:rPr>
          <w:b/>
          <w:szCs w:val="21"/>
        </w:rPr>
      </w:pPr>
    </w:p>
    <w:tbl>
      <w:tblPr>
        <w:tblStyle w:val="6"/>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3"/>
        <w:gridCol w:w="1142"/>
        <w:gridCol w:w="1304"/>
        <w:gridCol w:w="1105"/>
        <w:gridCol w:w="3148"/>
        <w:gridCol w:w="20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93" w:type="dxa"/>
          </w:tcPr>
          <w:p>
            <w:pPr>
              <w:spacing w:line="400" w:lineRule="exact"/>
              <w:jc w:val="center"/>
              <w:rPr>
                <w:rFonts w:ascii="宋体" w:hAnsi="宋体" w:cs="宋体"/>
                <w:bCs/>
                <w:szCs w:val="21"/>
              </w:rPr>
            </w:pPr>
            <w:r>
              <w:rPr>
                <w:rFonts w:hint="eastAsia" w:ascii="宋体" w:hAnsi="宋体" w:cs="宋体"/>
                <w:bCs/>
                <w:szCs w:val="21"/>
              </w:rPr>
              <w:t>所属专业大类</w:t>
            </w:r>
          </w:p>
        </w:tc>
        <w:tc>
          <w:tcPr>
            <w:tcW w:w="1142" w:type="dxa"/>
          </w:tcPr>
          <w:p>
            <w:pPr>
              <w:spacing w:line="400" w:lineRule="exact"/>
              <w:jc w:val="center"/>
              <w:rPr>
                <w:rFonts w:ascii="宋体" w:hAnsi="宋体" w:cs="宋体"/>
                <w:bCs/>
                <w:szCs w:val="21"/>
              </w:rPr>
            </w:pPr>
            <w:r>
              <w:rPr>
                <w:rFonts w:hint="eastAsia" w:ascii="宋体" w:hAnsi="宋体" w:cs="宋体"/>
                <w:bCs/>
                <w:szCs w:val="21"/>
              </w:rPr>
              <w:t>所属专业类</w:t>
            </w:r>
          </w:p>
        </w:tc>
        <w:tc>
          <w:tcPr>
            <w:tcW w:w="1304" w:type="dxa"/>
          </w:tcPr>
          <w:p>
            <w:pPr>
              <w:spacing w:line="400" w:lineRule="exact"/>
              <w:jc w:val="center"/>
              <w:rPr>
                <w:rFonts w:ascii="宋体" w:hAnsi="宋体" w:cs="宋体"/>
                <w:bCs/>
                <w:szCs w:val="21"/>
              </w:rPr>
            </w:pPr>
            <w:r>
              <w:rPr>
                <w:rFonts w:hint="eastAsia" w:ascii="宋体" w:hAnsi="宋体" w:cs="宋体"/>
                <w:bCs/>
                <w:szCs w:val="21"/>
              </w:rPr>
              <w:t>对应行业</w:t>
            </w:r>
          </w:p>
        </w:tc>
        <w:tc>
          <w:tcPr>
            <w:tcW w:w="1105" w:type="dxa"/>
          </w:tcPr>
          <w:p>
            <w:pPr>
              <w:spacing w:line="400" w:lineRule="exact"/>
              <w:jc w:val="center"/>
              <w:rPr>
                <w:rFonts w:ascii="宋体" w:hAnsi="宋体" w:cs="宋体"/>
                <w:bCs/>
                <w:szCs w:val="21"/>
              </w:rPr>
            </w:pPr>
            <w:r>
              <w:rPr>
                <w:rFonts w:hint="eastAsia" w:ascii="宋体" w:hAnsi="宋体" w:cs="宋体"/>
                <w:bCs/>
                <w:szCs w:val="21"/>
              </w:rPr>
              <w:t>主要职业类别</w:t>
            </w:r>
          </w:p>
        </w:tc>
        <w:tc>
          <w:tcPr>
            <w:tcW w:w="3148" w:type="dxa"/>
          </w:tcPr>
          <w:p>
            <w:pPr>
              <w:spacing w:line="400" w:lineRule="exact"/>
              <w:jc w:val="center"/>
              <w:rPr>
                <w:rFonts w:ascii="宋体" w:hAnsi="宋体" w:cs="宋体"/>
                <w:bCs/>
                <w:szCs w:val="21"/>
              </w:rPr>
            </w:pPr>
            <w:r>
              <w:rPr>
                <w:rFonts w:hint="eastAsia" w:ascii="宋体" w:hAnsi="宋体" w:cs="宋体"/>
                <w:bCs/>
                <w:szCs w:val="21"/>
              </w:rPr>
              <w:t>主要岗位类别（或技术领域）举例</w:t>
            </w:r>
          </w:p>
        </w:tc>
        <w:tc>
          <w:tcPr>
            <w:tcW w:w="2097" w:type="dxa"/>
          </w:tcPr>
          <w:p>
            <w:pPr>
              <w:spacing w:line="400" w:lineRule="exact"/>
              <w:jc w:val="center"/>
              <w:rPr>
                <w:rFonts w:ascii="宋体" w:hAnsi="宋体" w:cs="宋体"/>
                <w:bCs/>
                <w:szCs w:val="21"/>
              </w:rPr>
            </w:pPr>
            <w:r>
              <w:rPr>
                <w:rFonts w:hint="eastAsia" w:ascii="宋体" w:hAnsi="宋体" w:cs="宋体"/>
                <w:bCs/>
                <w:szCs w:val="21"/>
              </w:rPr>
              <w:t>职业资格（职业技术等级）证书举例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Pr>
          <w:p>
            <w:pPr>
              <w:spacing w:line="400" w:lineRule="exact"/>
              <w:rPr>
                <w:rFonts w:ascii="宋体" w:hAnsi="宋体"/>
                <w:bCs/>
                <w:szCs w:val="21"/>
              </w:rPr>
            </w:pPr>
            <w:r>
              <w:rPr>
                <w:rFonts w:ascii="宋体" w:hAnsi="宋体"/>
                <w:bCs/>
                <w:szCs w:val="21"/>
              </w:rPr>
              <w:t>财经商贸</w:t>
            </w:r>
            <w:r>
              <w:rPr>
                <w:rFonts w:hint="eastAsia" w:ascii="宋体" w:hAnsi="宋体"/>
                <w:bCs/>
                <w:szCs w:val="21"/>
              </w:rPr>
              <w:t>大</w:t>
            </w:r>
            <w:r>
              <w:rPr>
                <w:rFonts w:ascii="宋体" w:hAnsi="宋体"/>
                <w:bCs/>
                <w:szCs w:val="21"/>
              </w:rPr>
              <w:t>类</w:t>
            </w:r>
          </w:p>
        </w:tc>
        <w:tc>
          <w:tcPr>
            <w:tcW w:w="1142" w:type="dxa"/>
          </w:tcPr>
          <w:p>
            <w:pPr>
              <w:spacing w:line="400" w:lineRule="exact"/>
              <w:rPr>
                <w:rFonts w:ascii="宋体" w:hAnsi="宋体"/>
                <w:bCs/>
                <w:szCs w:val="21"/>
              </w:rPr>
            </w:pPr>
            <w:r>
              <w:rPr>
                <w:rFonts w:ascii="宋体" w:hAnsi="宋体"/>
                <w:bCs/>
                <w:szCs w:val="21"/>
              </w:rPr>
              <w:t>大数据与财务管理</w:t>
            </w:r>
          </w:p>
        </w:tc>
        <w:tc>
          <w:tcPr>
            <w:tcW w:w="1304" w:type="dxa"/>
          </w:tcPr>
          <w:p>
            <w:pPr>
              <w:spacing w:line="400" w:lineRule="exact"/>
              <w:rPr>
                <w:rFonts w:ascii="宋体" w:hAnsi="宋体"/>
                <w:bCs/>
                <w:szCs w:val="21"/>
              </w:rPr>
            </w:pPr>
            <w:r>
              <w:rPr>
                <w:rFonts w:hint="eastAsia" w:ascii="宋体" w:hAnsi="宋体"/>
                <w:bCs/>
                <w:szCs w:val="21"/>
              </w:rPr>
              <w:t>会计、金融行业</w:t>
            </w:r>
          </w:p>
        </w:tc>
        <w:tc>
          <w:tcPr>
            <w:tcW w:w="1105" w:type="dxa"/>
          </w:tcPr>
          <w:p>
            <w:pPr>
              <w:spacing w:line="400" w:lineRule="exact"/>
              <w:rPr>
                <w:rFonts w:ascii="宋体" w:hAnsi="宋体"/>
                <w:bCs/>
                <w:szCs w:val="21"/>
              </w:rPr>
            </w:pPr>
            <w:r>
              <w:rPr>
                <w:rFonts w:hint="eastAsia" w:ascii="宋体" w:hAnsi="宋体"/>
                <w:bCs/>
                <w:szCs w:val="21"/>
              </w:rPr>
              <w:t>财经专业技术人员、企事业单位人员</w:t>
            </w:r>
          </w:p>
        </w:tc>
        <w:tc>
          <w:tcPr>
            <w:tcW w:w="3148" w:type="dxa"/>
          </w:tcPr>
          <w:p>
            <w:pPr>
              <w:spacing w:line="400" w:lineRule="exact"/>
              <w:rPr>
                <w:rFonts w:ascii="宋体" w:hAnsi="宋体"/>
                <w:bCs/>
                <w:szCs w:val="21"/>
              </w:rPr>
            </w:pPr>
            <w:r>
              <w:rPr>
                <w:rFonts w:hint="eastAsia" w:ascii="宋体" w:hAnsi="宋体"/>
                <w:bCs/>
                <w:szCs w:val="21"/>
              </w:rPr>
              <w:t>出纳、税务专员、统计人员，档案管理员、资产管理员，成本管理人员；企业投、融资管理人员、税务管理及筹划人员、财务分析人员</w:t>
            </w:r>
          </w:p>
        </w:tc>
        <w:tc>
          <w:tcPr>
            <w:tcW w:w="2097" w:type="dxa"/>
          </w:tcPr>
          <w:p>
            <w:pPr>
              <w:spacing w:line="400" w:lineRule="exact"/>
              <w:rPr>
                <w:rFonts w:ascii="宋体" w:hAnsi="宋体"/>
                <w:bCs/>
                <w:szCs w:val="21"/>
              </w:rPr>
            </w:pPr>
            <w:r>
              <w:rPr>
                <w:rFonts w:hint="eastAsia" w:ascii="宋体" w:hAnsi="宋体"/>
                <w:bCs/>
                <w:szCs w:val="21"/>
              </w:rPr>
              <w:t>会计专业技术资格（初级）</w:t>
            </w:r>
          </w:p>
        </w:tc>
      </w:tr>
    </w:tbl>
    <w:p>
      <w:pPr>
        <w:spacing w:line="360" w:lineRule="auto"/>
        <w:rPr>
          <w:rStyle w:val="8"/>
          <w:rFonts w:ascii="宋体" w:hAnsi="宋体"/>
          <w:szCs w:val="21"/>
        </w:rPr>
      </w:pPr>
    </w:p>
    <w:p>
      <w:pPr>
        <w:spacing w:line="360" w:lineRule="auto"/>
        <w:ind w:firstLine="422" w:firstLineChars="200"/>
        <w:rPr>
          <w:rStyle w:val="8"/>
          <w:rFonts w:ascii="宋体" w:hAnsi="宋体"/>
          <w:szCs w:val="21"/>
        </w:rPr>
      </w:pPr>
      <w:r>
        <w:rPr>
          <w:rStyle w:val="8"/>
          <w:rFonts w:hint="eastAsia" w:ascii="宋体" w:hAnsi="宋体"/>
          <w:szCs w:val="21"/>
        </w:rPr>
        <w:t>(二) 职业岗位群和核心能力分析</w:t>
      </w:r>
    </w:p>
    <w:tbl>
      <w:tblPr>
        <w:tblStyle w:val="121"/>
        <w:tblW w:w="99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3544"/>
        <w:gridCol w:w="2835"/>
        <w:gridCol w:w="1134"/>
        <w:gridCol w:w="1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6" w:type="dxa"/>
            <w:shd w:val="clear" w:color="auto" w:fill="auto"/>
          </w:tcPr>
          <w:p>
            <w:pPr>
              <w:widowControl/>
              <w:spacing w:line="360" w:lineRule="auto"/>
              <w:jc w:val="left"/>
              <w:rPr>
                <w:rFonts w:ascii="宋体" w:hAnsi="宋体" w:cs="Arial"/>
                <w:b/>
                <w:bCs/>
                <w:kern w:val="0"/>
                <w:sz w:val="18"/>
                <w:szCs w:val="18"/>
              </w:rPr>
            </w:pPr>
            <w:r>
              <w:rPr>
                <w:rFonts w:hint="eastAsia" w:ascii="宋体" w:hAnsi="宋体" w:cs="Arial"/>
                <w:b/>
                <w:bCs/>
                <w:kern w:val="0"/>
                <w:sz w:val="18"/>
                <w:szCs w:val="18"/>
              </w:rPr>
              <w:t>岗位</w:t>
            </w:r>
          </w:p>
        </w:tc>
        <w:tc>
          <w:tcPr>
            <w:tcW w:w="3544" w:type="dxa"/>
            <w:shd w:val="clear" w:color="auto" w:fill="auto"/>
          </w:tcPr>
          <w:p>
            <w:pPr>
              <w:widowControl/>
              <w:spacing w:line="360" w:lineRule="auto"/>
              <w:jc w:val="left"/>
              <w:rPr>
                <w:rFonts w:ascii="宋体" w:hAnsi="宋体" w:cs="Arial"/>
                <w:b/>
                <w:bCs/>
                <w:kern w:val="0"/>
                <w:sz w:val="18"/>
                <w:szCs w:val="18"/>
              </w:rPr>
            </w:pPr>
            <w:r>
              <w:rPr>
                <w:rFonts w:hint="eastAsia" w:ascii="宋体" w:hAnsi="宋体" w:cs="Arial"/>
                <w:b/>
                <w:bCs/>
                <w:kern w:val="0"/>
                <w:sz w:val="18"/>
                <w:szCs w:val="18"/>
              </w:rPr>
              <w:t>岗位能力要求</w:t>
            </w:r>
          </w:p>
        </w:tc>
        <w:tc>
          <w:tcPr>
            <w:tcW w:w="2835" w:type="dxa"/>
            <w:shd w:val="clear" w:color="auto" w:fill="auto"/>
          </w:tcPr>
          <w:p>
            <w:pPr>
              <w:widowControl/>
              <w:spacing w:line="360" w:lineRule="auto"/>
              <w:jc w:val="left"/>
              <w:rPr>
                <w:rFonts w:ascii="宋体" w:hAnsi="宋体" w:cs="Arial"/>
                <w:b/>
                <w:bCs/>
                <w:kern w:val="0"/>
                <w:sz w:val="18"/>
                <w:szCs w:val="18"/>
              </w:rPr>
            </w:pPr>
            <w:r>
              <w:rPr>
                <w:rFonts w:hint="eastAsia" w:ascii="宋体" w:hAnsi="宋体" w:cs="Arial"/>
                <w:b/>
                <w:bCs/>
                <w:kern w:val="0"/>
                <w:sz w:val="18"/>
                <w:szCs w:val="18"/>
              </w:rPr>
              <w:t>岗位职责</w:t>
            </w:r>
          </w:p>
        </w:tc>
        <w:tc>
          <w:tcPr>
            <w:tcW w:w="1134" w:type="dxa"/>
            <w:shd w:val="clear" w:color="auto" w:fill="auto"/>
          </w:tcPr>
          <w:p>
            <w:pPr>
              <w:widowControl/>
              <w:spacing w:line="360" w:lineRule="auto"/>
              <w:jc w:val="left"/>
              <w:rPr>
                <w:rFonts w:ascii="宋体" w:hAnsi="宋体" w:cs="Arial"/>
                <w:b/>
                <w:bCs/>
                <w:kern w:val="0"/>
                <w:sz w:val="18"/>
                <w:szCs w:val="18"/>
              </w:rPr>
            </w:pPr>
            <w:r>
              <w:rPr>
                <w:rFonts w:hint="eastAsia" w:ascii="宋体" w:hAnsi="宋体" w:cs="Arial"/>
                <w:b/>
                <w:bCs/>
                <w:kern w:val="0"/>
                <w:sz w:val="18"/>
                <w:szCs w:val="18"/>
              </w:rPr>
              <w:t>导出课程</w:t>
            </w:r>
          </w:p>
        </w:tc>
        <w:tc>
          <w:tcPr>
            <w:tcW w:w="1561" w:type="dxa"/>
            <w:shd w:val="clear" w:color="auto" w:fill="auto"/>
          </w:tcPr>
          <w:p>
            <w:pPr>
              <w:widowControl/>
              <w:spacing w:line="360" w:lineRule="auto"/>
              <w:jc w:val="left"/>
              <w:rPr>
                <w:rFonts w:ascii="宋体" w:hAnsi="宋体" w:cs="Arial"/>
                <w:b/>
                <w:bCs/>
                <w:kern w:val="0"/>
                <w:sz w:val="18"/>
                <w:szCs w:val="18"/>
              </w:rPr>
            </w:pPr>
            <w:r>
              <w:rPr>
                <w:rFonts w:hint="eastAsia" w:ascii="宋体" w:hAnsi="宋体" w:cs="Arial"/>
                <w:b/>
                <w:bCs/>
                <w:kern w:val="0"/>
                <w:sz w:val="18"/>
                <w:szCs w:val="18"/>
              </w:rPr>
              <w:t>综合开设课程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846" w:type="dxa"/>
            <w:shd w:val="clear" w:color="auto" w:fill="auto"/>
          </w:tcPr>
          <w:p>
            <w:pPr>
              <w:widowControl/>
              <w:spacing w:line="360" w:lineRule="auto"/>
              <w:jc w:val="left"/>
              <w:rPr>
                <w:rFonts w:ascii="宋体" w:hAnsi="宋体" w:cs="Arial"/>
                <w:kern w:val="0"/>
                <w:sz w:val="18"/>
                <w:szCs w:val="18"/>
              </w:rPr>
            </w:pPr>
            <w:r>
              <w:rPr>
                <w:rFonts w:hint="eastAsia" w:ascii="宋体" w:hAnsi="宋体" w:cs="Arial"/>
                <w:kern w:val="0"/>
                <w:sz w:val="18"/>
                <w:szCs w:val="18"/>
              </w:rPr>
              <w:t>会计</w:t>
            </w:r>
          </w:p>
        </w:tc>
        <w:tc>
          <w:tcPr>
            <w:tcW w:w="3544" w:type="dxa"/>
            <w:shd w:val="clear" w:color="auto" w:fill="auto"/>
          </w:tcPr>
          <w:p>
            <w:pPr>
              <w:spacing w:line="360" w:lineRule="auto"/>
              <w:rPr>
                <w:rFonts w:ascii="宋体" w:hAnsi="宋体" w:cs="Arial"/>
                <w:kern w:val="0"/>
                <w:szCs w:val="21"/>
              </w:rPr>
            </w:pPr>
            <w:r>
              <w:rPr>
                <w:rFonts w:hint="eastAsia" w:ascii="宋体" w:hAnsi="宋体" w:cs="Arial"/>
                <w:kern w:val="0"/>
                <w:szCs w:val="21"/>
              </w:rPr>
              <w:t>1</w:t>
            </w:r>
            <w:r>
              <w:rPr>
                <w:rFonts w:ascii="宋体" w:hAnsi="宋体" w:cs="Arial"/>
                <w:kern w:val="0"/>
                <w:szCs w:val="21"/>
              </w:rPr>
              <w:t>.</w:t>
            </w:r>
            <w:r>
              <w:rPr>
                <w:rFonts w:hint="eastAsia" w:ascii="宋体" w:hAnsi="宋体" w:cs="Arial"/>
                <w:kern w:val="0"/>
                <w:szCs w:val="21"/>
              </w:rPr>
              <w:t>掌握凭证填制、登记账簿、编制报表基本技能；2</w:t>
            </w:r>
            <w:r>
              <w:rPr>
                <w:rFonts w:ascii="宋体" w:hAnsi="宋体" w:cs="Arial"/>
                <w:kern w:val="0"/>
                <w:szCs w:val="21"/>
              </w:rPr>
              <w:t>.</w:t>
            </w:r>
            <w:r>
              <w:rPr>
                <w:rFonts w:hint="eastAsia" w:ascii="宋体" w:hAnsi="宋体"/>
                <w:color w:val="333333"/>
                <w:shd w:val="clear" w:color="auto" w:fill="FFFFFF"/>
              </w:rPr>
              <w:t>掌握会计信息的生成过程、会计电算化软件操作，能对企事业单位、不同行业会计实务进行处理。</w:t>
            </w:r>
          </w:p>
        </w:tc>
        <w:tc>
          <w:tcPr>
            <w:tcW w:w="2835" w:type="dxa"/>
            <w:shd w:val="clear" w:color="auto" w:fill="auto"/>
          </w:tcPr>
          <w:p>
            <w:pPr>
              <w:widowControl/>
              <w:spacing w:line="360" w:lineRule="auto"/>
              <w:jc w:val="left"/>
              <w:rPr>
                <w:rFonts w:ascii="宋体" w:hAnsi="宋体" w:cs="Arial"/>
                <w:kern w:val="0"/>
                <w:szCs w:val="21"/>
              </w:rPr>
            </w:pPr>
            <w:r>
              <w:rPr>
                <w:rFonts w:hint="eastAsia" w:ascii="宋体" w:hAnsi="宋体" w:cs="Arial"/>
                <w:kern w:val="0"/>
                <w:szCs w:val="21"/>
              </w:rPr>
              <w:t>以货币为主要计量单位，运用专门的方法，对记账凭证、财务帐薄、财务报表，是核算和监督一个单位经济活动的一种经济管理工作。</w:t>
            </w:r>
          </w:p>
        </w:tc>
        <w:tc>
          <w:tcPr>
            <w:tcW w:w="1134" w:type="dxa"/>
            <w:shd w:val="clear" w:color="auto" w:fill="auto"/>
          </w:tcPr>
          <w:p>
            <w:pPr>
              <w:widowControl/>
              <w:spacing w:line="360" w:lineRule="auto"/>
              <w:jc w:val="left"/>
              <w:rPr>
                <w:rFonts w:ascii="宋体" w:hAnsi="宋体" w:cs="Arial"/>
                <w:kern w:val="0"/>
                <w:szCs w:val="21"/>
              </w:rPr>
            </w:pPr>
            <w:r>
              <w:rPr>
                <w:rFonts w:hint="eastAsia" w:ascii="宋体" w:hAnsi="宋体" w:cs="Arial"/>
                <w:kern w:val="0"/>
                <w:szCs w:val="21"/>
              </w:rPr>
              <w:t>初级会计</w:t>
            </w:r>
          </w:p>
        </w:tc>
        <w:tc>
          <w:tcPr>
            <w:tcW w:w="1561" w:type="dxa"/>
            <w:vMerge w:val="restart"/>
            <w:shd w:val="clear" w:color="auto" w:fill="auto"/>
          </w:tcPr>
          <w:p>
            <w:pPr>
              <w:widowControl/>
              <w:spacing w:line="360" w:lineRule="auto"/>
              <w:jc w:val="left"/>
              <w:rPr>
                <w:rFonts w:ascii="宋体" w:hAnsi="宋体" w:cs="Arial"/>
                <w:kern w:val="0"/>
                <w:szCs w:val="21"/>
              </w:rPr>
            </w:pPr>
            <w:r>
              <w:rPr>
                <w:rFonts w:hint="eastAsia" w:ascii="宋体" w:hAnsi="宋体" w:cs="Arial"/>
                <w:kern w:val="0"/>
                <w:szCs w:val="21"/>
              </w:rPr>
              <w:t>财务会计基础、会计电算化、经济学基础、经济法基础、excel在财务中的应用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846" w:type="dxa"/>
            <w:shd w:val="clear" w:color="auto" w:fill="auto"/>
          </w:tcPr>
          <w:p>
            <w:pPr>
              <w:widowControl/>
              <w:shd w:val="clear" w:color="auto" w:fill="FFFFFF"/>
              <w:spacing w:line="360" w:lineRule="auto"/>
              <w:jc w:val="left"/>
              <w:rPr>
                <w:rFonts w:ascii="宋体" w:hAnsi="宋体" w:cs="Arial"/>
                <w:kern w:val="0"/>
                <w:sz w:val="18"/>
                <w:szCs w:val="18"/>
              </w:rPr>
            </w:pPr>
            <w:r>
              <w:rPr>
                <w:rFonts w:hint="eastAsia" w:ascii="宋体" w:hAnsi="宋体" w:cs="Arial"/>
                <w:kern w:val="0"/>
                <w:sz w:val="18"/>
                <w:szCs w:val="18"/>
              </w:rPr>
              <w:t>资金经理</w:t>
            </w:r>
          </w:p>
        </w:tc>
        <w:tc>
          <w:tcPr>
            <w:tcW w:w="3544" w:type="dxa"/>
            <w:shd w:val="clear" w:color="auto" w:fill="auto"/>
          </w:tcPr>
          <w:p>
            <w:pPr>
              <w:widowControl/>
              <w:spacing w:line="360" w:lineRule="auto"/>
              <w:jc w:val="left"/>
              <w:rPr>
                <w:rFonts w:ascii="宋体" w:hAnsi="宋体" w:cs="Arial"/>
                <w:kern w:val="0"/>
                <w:szCs w:val="21"/>
              </w:rPr>
            </w:pPr>
            <w:r>
              <w:rPr>
                <w:rFonts w:hint="eastAsia" w:ascii="宋体" w:hAnsi="宋体" w:cs="Arial"/>
                <w:kern w:val="0"/>
                <w:szCs w:val="21"/>
              </w:rPr>
              <w:t>财务管理基本能力:熟悉企业管理的一般流程和财务管理的基本理论，掌握财务管理的原理与基本方法；</w:t>
            </w:r>
          </w:p>
        </w:tc>
        <w:tc>
          <w:tcPr>
            <w:tcW w:w="2835" w:type="dxa"/>
            <w:shd w:val="clear" w:color="auto" w:fill="auto"/>
          </w:tcPr>
          <w:p>
            <w:pPr>
              <w:widowControl/>
              <w:spacing w:line="360" w:lineRule="auto"/>
              <w:jc w:val="left"/>
              <w:rPr>
                <w:rFonts w:ascii="宋体" w:hAnsi="宋体" w:cs="Arial"/>
                <w:kern w:val="0"/>
                <w:szCs w:val="21"/>
              </w:rPr>
            </w:pPr>
            <w:r>
              <w:rPr>
                <w:rFonts w:hint="eastAsia" w:ascii="宋体" w:hAnsi="宋体" w:cs="Arial"/>
                <w:kern w:val="0"/>
                <w:szCs w:val="21"/>
              </w:rPr>
              <w:t>根据投资决策委员会的投资战略，在研究部门研究报告的支持下，结合对证券市场、上市公司、投资时机的分析，拟订所管理基金的具体投资计划。</w:t>
            </w:r>
            <w:r>
              <w:rPr>
                <w:rFonts w:ascii="宋体" w:hAnsi="宋体" w:cs="Arial"/>
                <w:kern w:val="0"/>
                <w:szCs w:val="21"/>
              </w:rPr>
              <w:t xml:space="preserve"> </w:t>
            </w:r>
          </w:p>
        </w:tc>
        <w:tc>
          <w:tcPr>
            <w:tcW w:w="1134" w:type="dxa"/>
            <w:shd w:val="clear" w:color="auto" w:fill="auto"/>
          </w:tcPr>
          <w:p>
            <w:pPr>
              <w:widowControl/>
              <w:spacing w:line="360" w:lineRule="auto"/>
              <w:jc w:val="left"/>
              <w:rPr>
                <w:rFonts w:ascii="宋体" w:hAnsi="宋体" w:cs="Arial"/>
                <w:kern w:val="0"/>
                <w:szCs w:val="21"/>
              </w:rPr>
            </w:pPr>
            <w:r>
              <w:rPr>
                <w:rFonts w:hint="eastAsia" w:ascii="宋体" w:hAnsi="宋体" w:cs="Arial"/>
                <w:kern w:val="0"/>
                <w:szCs w:val="21"/>
              </w:rPr>
              <w:t>财务管理、投资学</w:t>
            </w:r>
          </w:p>
        </w:tc>
        <w:tc>
          <w:tcPr>
            <w:tcW w:w="1561" w:type="dxa"/>
            <w:vMerge w:val="continue"/>
            <w:shd w:val="clear" w:color="auto" w:fill="auto"/>
          </w:tcPr>
          <w:p>
            <w:pPr>
              <w:widowControl/>
              <w:spacing w:line="360" w:lineRule="auto"/>
              <w:jc w:val="left"/>
              <w:rPr>
                <w:rFonts w:ascii="宋体" w:hAnsi="宋体" w:cs="Arial"/>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846" w:type="dxa"/>
            <w:shd w:val="clear" w:color="auto" w:fill="auto"/>
          </w:tcPr>
          <w:p>
            <w:pPr>
              <w:widowControl/>
              <w:shd w:val="clear" w:color="auto" w:fill="FFFFFF"/>
              <w:spacing w:line="360" w:lineRule="auto"/>
              <w:jc w:val="left"/>
              <w:rPr>
                <w:rStyle w:val="8"/>
                <w:rFonts w:ascii="宋体" w:hAnsi="宋体"/>
                <w:b w:val="0"/>
                <w:sz w:val="18"/>
                <w:szCs w:val="18"/>
              </w:rPr>
            </w:pPr>
            <w:r>
              <w:rPr>
                <w:rFonts w:hint="eastAsia" w:cs="Arial"/>
                <w:bCs/>
                <w:kern w:val="0"/>
                <w:sz w:val="18"/>
                <w:szCs w:val="18"/>
              </w:rPr>
              <w:t>财务成果核算</w:t>
            </w:r>
          </w:p>
        </w:tc>
        <w:tc>
          <w:tcPr>
            <w:tcW w:w="3544" w:type="dxa"/>
            <w:shd w:val="clear" w:color="auto" w:fill="auto"/>
          </w:tcPr>
          <w:p>
            <w:pPr>
              <w:pStyle w:val="5"/>
              <w:shd w:val="clear" w:color="auto" w:fill="FFFFFF"/>
              <w:spacing w:before="0" w:beforeAutospacing="0" w:after="0" w:afterAutospacing="0" w:line="390" w:lineRule="atLeast"/>
              <w:rPr>
                <w:rStyle w:val="8"/>
                <w:rFonts w:asciiTheme="minorEastAsia" w:hAnsiTheme="minorEastAsia" w:eastAsiaTheme="minorEastAsia"/>
                <w:b w:val="0"/>
                <w:szCs w:val="21"/>
              </w:rPr>
            </w:pPr>
            <w:r>
              <w:rPr>
                <w:rFonts w:hint="eastAsia" w:cs="Arial"/>
                <w:sz w:val="21"/>
                <w:szCs w:val="21"/>
              </w:rPr>
              <w:t>本岗位应全面熟悉有关财经法律、法规和政策，掌握并熟悉公司经营过程的全貌。协助财务经理搞好企业的财务管理，并按会计制度规定，设置会计科目、会计凭证和会计账簿；在财务经理指导下，会同财务各岗位制度本公司有关会计核算的各项规章制度；设置与掌管总分类帐簿。</w:t>
            </w:r>
          </w:p>
        </w:tc>
        <w:tc>
          <w:tcPr>
            <w:tcW w:w="2835" w:type="dxa"/>
            <w:shd w:val="clear" w:color="auto" w:fill="auto"/>
          </w:tcPr>
          <w:p>
            <w:pPr>
              <w:pStyle w:val="5"/>
              <w:shd w:val="clear" w:color="auto" w:fill="FFFFFF"/>
              <w:spacing w:before="0" w:beforeAutospacing="0" w:after="0" w:afterAutospacing="0" w:line="390" w:lineRule="atLeast"/>
              <w:rPr>
                <w:rFonts w:cs="Arial"/>
                <w:sz w:val="21"/>
                <w:szCs w:val="21"/>
              </w:rPr>
            </w:pPr>
            <w:r>
              <w:rPr>
                <w:rFonts w:hint="eastAsia" w:cs="Arial"/>
                <w:sz w:val="21"/>
                <w:szCs w:val="21"/>
              </w:rPr>
              <w:t>1、负责编制收入，利润计划。</w:t>
            </w:r>
          </w:p>
          <w:p>
            <w:pPr>
              <w:pStyle w:val="5"/>
              <w:shd w:val="clear" w:color="auto" w:fill="FFFFFF"/>
              <w:spacing w:before="0" w:beforeAutospacing="0" w:after="0" w:afterAutospacing="0" w:line="390" w:lineRule="atLeast"/>
              <w:rPr>
                <w:rFonts w:cs="Arial"/>
                <w:sz w:val="21"/>
                <w:szCs w:val="21"/>
              </w:rPr>
            </w:pPr>
            <w:r>
              <w:rPr>
                <w:rFonts w:hint="eastAsia" w:cs="Arial"/>
                <w:sz w:val="21"/>
                <w:szCs w:val="21"/>
              </w:rPr>
              <w:t>2、办理销售款项结算业务。</w:t>
            </w:r>
          </w:p>
          <w:p>
            <w:pPr>
              <w:pStyle w:val="5"/>
              <w:shd w:val="clear" w:color="auto" w:fill="FFFFFF"/>
              <w:spacing w:before="0" w:beforeAutospacing="0" w:after="0" w:afterAutospacing="0" w:line="390" w:lineRule="atLeast"/>
              <w:rPr>
                <w:rFonts w:cs="Arial"/>
                <w:sz w:val="21"/>
                <w:szCs w:val="21"/>
              </w:rPr>
            </w:pPr>
            <w:r>
              <w:rPr>
                <w:rFonts w:hint="eastAsia" w:cs="Arial"/>
                <w:sz w:val="21"/>
                <w:szCs w:val="21"/>
              </w:rPr>
              <w:t>3、负责收入和利润的明细核算。</w:t>
            </w:r>
          </w:p>
          <w:p>
            <w:pPr>
              <w:pStyle w:val="5"/>
              <w:shd w:val="clear" w:color="auto" w:fill="FFFFFF"/>
              <w:spacing w:before="0" w:beforeAutospacing="0" w:after="0" w:afterAutospacing="0" w:line="390" w:lineRule="atLeast"/>
              <w:rPr>
                <w:rFonts w:cs="Arial"/>
                <w:sz w:val="21"/>
                <w:szCs w:val="21"/>
              </w:rPr>
            </w:pPr>
            <w:r>
              <w:rPr>
                <w:rFonts w:hint="eastAsia" w:cs="Arial"/>
                <w:sz w:val="21"/>
                <w:szCs w:val="21"/>
              </w:rPr>
              <w:t>4、负责利润分配的明细核算。</w:t>
            </w:r>
          </w:p>
          <w:p>
            <w:pPr>
              <w:pStyle w:val="5"/>
              <w:shd w:val="clear" w:color="auto" w:fill="FFFFFF"/>
              <w:spacing w:before="0" w:beforeAutospacing="0" w:after="0" w:afterAutospacing="0" w:line="390" w:lineRule="atLeast"/>
              <w:rPr>
                <w:rFonts w:cs="Arial"/>
                <w:sz w:val="21"/>
                <w:szCs w:val="21"/>
              </w:rPr>
            </w:pPr>
            <w:r>
              <w:rPr>
                <w:rFonts w:hint="eastAsia" w:cs="Arial"/>
                <w:sz w:val="21"/>
                <w:szCs w:val="21"/>
              </w:rPr>
              <w:t>5、编制收入和利润报表。</w:t>
            </w:r>
          </w:p>
          <w:p>
            <w:pPr>
              <w:pStyle w:val="5"/>
              <w:shd w:val="clear" w:color="auto" w:fill="FFFFFF"/>
              <w:spacing w:before="0" w:beforeAutospacing="0" w:after="0" w:afterAutospacing="0" w:line="390" w:lineRule="atLeast"/>
              <w:rPr>
                <w:rFonts w:cs="Arial"/>
                <w:sz w:val="21"/>
                <w:szCs w:val="21"/>
              </w:rPr>
            </w:pPr>
            <w:r>
              <w:rPr>
                <w:rFonts w:hint="eastAsia" w:cs="Arial"/>
                <w:sz w:val="21"/>
                <w:szCs w:val="21"/>
              </w:rPr>
              <w:t>6、协助有关部门对产成品进行清点盘查。</w:t>
            </w:r>
          </w:p>
          <w:p>
            <w:pPr>
              <w:rPr>
                <w:rStyle w:val="8"/>
                <w:rFonts w:ascii="宋体" w:hAnsi="宋体"/>
                <w:b w:val="0"/>
                <w:szCs w:val="21"/>
              </w:rPr>
            </w:pPr>
          </w:p>
        </w:tc>
        <w:tc>
          <w:tcPr>
            <w:tcW w:w="1134" w:type="dxa"/>
            <w:shd w:val="clear" w:color="auto" w:fill="auto"/>
          </w:tcPr>
          <w:p>
            <w:pPr>
              <w:widowControl/>
              <w:spacing w:line="360" w:lineRule="auto"/>
              <w:jc w:val="left"/>
              <w:rPr>
                <w:rStyle w:val="8"/>
                <w:rFonts w:ascii="宋体" w:hAnsi="宋体"/>
                <w:b w:val="0"/>
                <w:szCs w:val="21"/>
              </w:rPr>
            </w:pPr>
            <w:r>
              <w:rPr>
                <w:rFonts w:cs="Arial"/>
                <w:bCs/>
                <w:kern w:val="0"/>
              </w:rPr>
              <w:t>预算管理、</w:t>
            </w:r>
            <w:r>
              <w:rPr>
                <w:rFonts w:hint="eastAsia" w:cs="Arial"/>
                <w:bCs/>
                <w:kern w:val="0"/>
              </w:rPr>
              <w:t>企业</w:t>
            </w:r>
            <w:r>
              <w:rPr>
                <w:rFonts w:cs="Arial"/>
                <w:bCs/>
                <w:kern w:val="0"/>
              </w:rPr>
              <w:t>财务管理</w:t>
            </w:r>
          </w:p>
        </w:tc>
        <w:tc>
          <w:tcPr>
            <w:tcW w:w="1561" w:type="dxa"/>
            <w:vMerge w:val="continue"/>
            <w:shd w:val="clear" w:color="auto" w:fill="auto"/>
          </w:tcPr>
          <w:p>
            <w:pPr>
              <w:widowControl/>
              <w:spacing w:line="360" w:lineRule="auto"/>
              <w:jc w:val="left"/>
              <w:rPr>
                <w:rFonts w:ascii="宋体" w:hAnsi="宋体" w:cs="Arial"/>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846" w:type="dxa"/>
            <w:shd w:val="clear" w:color="auto" w:fill="auto"/>
          </w:tcPr>
          <w:p>
            <w:pPr>
              <w:rPr>
                <w:rStyle w:val="8"/>
                <w:rFonts w:ascii="宋体" w:hAnsi="宋体"/>
                <w:b w:val="0"/>
                <w:szCs w:val="21"/>
              </w:rPr>
            </w:pPr>
            <w:r>
              <w:rPr>
                <w:rStyle w:val="8"/>
                <w:rFonts w:hint="eastAsia" w:ascii="宋体" w:hAnsi="宋体"/>
                <w:b w:val="0"/>
                <w:szCs w:val="21"/>
              </w:rPr>
              <w:t>稽核</w:t>
            </w:r>
          </w:p>
        </w:tc>
        <w:tc>
          <w:tcPr>
            <w:tcW w:w="3544" w:type="dxa"/>
            <w:shd w:val="clear" w:color="auto" w:fill="auto"/>
          </w:tcPr>
          <w:p>
            <w:pPr>
              <w:widowControl/>
              <w:spacing w:line="360" w:lineRule="auto"/>
              <w:jc w:val="left"/>
              <w:rPr>
                <w:rFonts w:cs="Arial" w:asciiTheme="minorEastAsia" w:hAnsiTheme="minorEastAsia" w:eastAsiaTheme="minorEastAsia"/>
                <w:bCs/>
                <w:kern w:val="0"/>
              </w:rPr>
            </w:pPr>
            <w:r>
              <w:rPr>
                <w:rFonts w:hint="eastAsia" w:cs="Arial" w:asciiTheme="minorEastAsia" w:hAnsiTheme="minorEastAsia" w:eastAsiaTheme="minorEastAsia"/>
                <w:bCs/>
                <w:kern w:val="0"/>
              </w:rPr>
              <w:t>1、稽核人员必须具备较高的的政治素质和业务素质，且需由会计师以上职称的人员担任。</w:t>
            </w:r>
          </w:p>
          <w:p>
            <w:pPr>
              <w:widowControl/>
              <w:spacing w:line="360" w:lineRule="auto"/>
              <w:jc w:val="left"/>
              <w:rPr>
                <w:rFonts w:cs="Arial" w:asciiTheme="minorEastAsia" w:hAnsiTheme="minorEastAsia" w:eastAsiaTheme="minorEastAsia"/>
                <w:bCs/>
                <w:kern w:val="0"/>
              </w:rPr>
            </w:pPr>
            <w:r>
              <w:rPr>
                <w:rFonts w:hint="eastAsia" w:cs="Arial" w:asciiTheme="minorEastAsia" w:hAnsiTheme="minorEastAsia" w:eastAsiaTheme="minorEastAsia"/>
                <w:bCs/>
                <w:kern w:val="0"/>
              </w:rPr>
              <w:t>2、稽核人员必须依据有关政策、法律及公司规章制度等有关规定对所发生的会计事项进行稽核，严把稽核关。对不合法、内容不真实、手续不完备、数字不准确的原始凭证予以退回，要求更正、补充。对内容不完整、数字不准确、会计科目使用不当的记账凭证要求更正。</w:t>
            </w:r>
          </w:p>
          <w:p>
            <w:pPr>
              <w:widowControl/>
              <w:spacing w:line="360" w:lineRule="auto"/>
              <w:jc w:val="left"/>
              <w:rPr>
                <w:rFonts w:cs="Arial" w:asciiTheme="minorEastAsia" w:hAnsiTheme="minorEastAsia" w:eastAsiaTheme="minorEastAsia"/>
                <w:bCs/>
                <w:kern w:val="0"/>
              </w:rPr>
            </w:pPr>
            <w:r>
              <w:rPr>
                <w:rFonts w:hint="eastAsia" w:cs="Arial" w:asciiTheme="minorEastAsia" w:hAnsiTheme="minorEastAsia" w:eastAsiaTheme="minorEastAsia"/>
                <w:bCs/>
                <w:kern w:val="0"/>
              </w:rPr>
              <w:t>3、所有会计凭证必须经过稽核人员稽核后，才能据以记账；所有支出，必须经稽核人员稽核后，出纳人员才能付款。对于无计划或超计划的项目开支，稽核人员有权拒绝支付。对不符合规定的收入项目应提出意见或拒绝办理。</w:t>
            </w:r>
          </w:p>
          <w:p>
            <w:pPr>
              <w:widowControl/>
              <w:spacing w:line="360" w:lineRule="auto"/>
              <w:jc w:val="left"/>
              <w:rPr>
                <w:rStyle w:val="8"/>
                <w:rFonts w:asciiTheme="minorEastAsia" w:hAnsiTheme="minorEastAsia" w:eastAsiaTheme="minorEastAsia"/>
                <w:b w:val="0"/>
                <w:szCs w:val="21"/>
              </w:rPr>
            </w:pPr>
            <w:r>
              <w:rPr>
                <w:rFonts w:hint="eastAsia" w:cs="Arial" w:asciiTheme="minorEastAsia" w:hAnsiTheme="minorEastAsia" w:eastAsiaTheme="minorEastAsia"/>
                <w:bCs/>
                <w:kern w:val="0"/>
              </w:rPr>
              <w:t>4、稽核人员在对经济业务进行审核和监督过程中，若发现异常情况必须及时处理，并向上级管理部门汇报。</w:t>
            </w:r>
          </w:p>
        </w:tc>
        <w:tc>
          <w:tcPr>
            <w:tcW w:w="2835" w:type="dxa"/>
            <w:shd w:val="clear" w:color="auto" w:fill="auto"/>
          </w:tcPr>
          <w:p>
            <w:pPr>
              <w:widowControl/>
              <w:spacing w:line="360" w:lineRule="auto"/>
              <w:jc w:val="left"/>
              <w:rPr>
                <w:rFonts w:cs="Arial" w:asciiTheme="minorEastAsia" w:hAnsiTheme="minorEastAsia" w:eastAsiaTheme="minorEastAsia"/>
                <w:bCs/>
                <w:kern w:val="0"/>
              </w:rPr>
            </w:pPr>
            <w:r>
              <w:rPr>
                <w:rFonts w:hint="eastAsia" w:cs="Arial" w:asciiTheme="minorEastAsia" w:hAnsiTheme="minorEastAsia" w:eastAsiaTheme="minorEastAsia"/>
                <w:bCs/>
                <w:kern w:val="0"/>
              </w:rPr>
              <w:t>（1）审查财务收支。根据财务收支计划和财务会计制度，逐笔审核各项收支，对计划外或不符合规定的收支，应提出意见，并向领导汇报，采取措施，进行处理。</w:t>
            </w:r>
          </w:p>
          <w:p>
            <w:pPr>
              <w:widowControl/>
              <w:spacing w:line="360" w:lineRule="auto"/>
              <w:jc w:val="left"/>
              <w:rPr>
                <w:rStyle w:val="8"/>
                <w:rFonts w:asciiTheme="minorEastAsia" w:hAnsiTheme="minorEastAsia" w:eastAsiaTheme="minorEastAsia"/>
                <w:b w:val="0"/>
                <w:szCs w:val="21"/>
              </w:rPr>
            </w:pPr>
            <w:r>
              <w:rPr>
                <w:rFonts w:hint="eastAsia" w:cs="Arial" w:asciiTheme="minorEastAsia" w:hAnsiTheme="minorEastAsia" w:eastAsiaTheme="minorEastAsia"/>
                <w:bCs/>
                <w:kern w:val="0"/>
              </w:rPr>
              <w:t>（2）复核各种记账凭证。复核凭证是否合法，内容是否真实，手续是否完备，数字是否正确，记账分录是否符合制度规定。</w:t>
            </w:r>
          </w:p>
        </w:tc>
        <w:tc>
          <w:tcPr>
            <w:tcW w:w="1134" w:type="dxa"/>
            <w:shd w:val="clear" w:color="auto" w:fill="auto"/>
          </w:tcPr>
          <w:p>
            <w:pPr>
              <w:rPr>
                <w:rStyle w:val="8"/>
                <w:rFonts w:asciiTheme="minorEastAsia" w:hAnsiTheme="minorEastAsia" w:eastAsiaTheme="minorEastAsia"/>
                <w:b w:val="0"/>
                <w:szCs w:val="21"/>
              </w:rPr>
            </w:pPr>
            <w:r>
              <w:rPr>
                <w:rStyle w:val="8"/>
                <w:rFonts w:hint="eastAsia" w:asciiTheme="minorEastAsia" w:hAnsiTheme="minorEastAsia" w:eastAsiaTheme="minorEastAsia"/>
                <w:b w:val="0"/>
                <w:szCs w:val="21"/>
              </w:rPr>
              <w:t>企业财务分析</w:t>
            </w:r>
          </w:p>
        </w:tc>
        <w:tc>
          <w:tcPr>
            <w:tcW w:w="1561" w:type="dxa"/>
            <w:shd w:val="clear" w:color="auto" w:fill="auto"/>
          </w:tcPr>
          <w:p>
            <w:pPr>
              <w:widowControl/>
              <w:spacing w:line="360" w:lineRule="auto"/>
              <w:jc w:val="left"/>
              <w:rPr>
                <w:rFonts w:cs="Arial" w:asciiTheme="minorEastAsia" w:hAnsiTheme="minorEastAsia" w:eastAsiaTheme="minorEastAsia"/>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846" w:type="dxa"/>
            <w:shd w:val="clear" w:color="auto" w:fill="auto"/>
          </w:tcPr>
          <w:p>
            <w:pPr>
              <w:rPr>
                <w:rStyle w:val="8"/>
                <w:rFonts w:ascii="宋体" w:hAnsi="宋体"/>
                <w:b w:val="0"/>
                <w:szCs w:val="21"/>
              </w:rPr>
            </w:pPr>
            <w:r>
              <w:rPr>
                <w:rStyle w:val="8"/>
                <w:rFonts w:hint="eastAsia" w:ascii="宋体" w:hAnsi="宋体"/>
                <w:b w:val="0"/>
                <w:szCs w:val="21"/>
              </w:rPr>
              <w:t>财产物资核算</w:t>
            </w:r>
          </w:p>
        </w:tc>
        <w:tc>
          <w:tcPr>
            <w:tcW w:w="3544" w:type="dxa"/>
            <w:shd w:val="clear" w:color="auto" w:fill="auto"/>
          </w:tcPr>
          <w:p>
            <w:pPr>
              <w:pStyle w:val="5"/>
              <w:shd w:val="clear" w:color="auto" w:fill="FFFFFF"/>
              <w:spacing w:before="0" w:beforeAutospacing="0" w:after="180" w:afterAutospacing="0" w:line="450" w:lineRule="atLeast"/>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1．企业内部财务管理机构的设置。</w:t>
            </w:r>
          </w:p>
          <w:p>
            <w:pPr>
              <w:pStyle w:val="5"/>
              <w:shd w:val="clear" w:color="auto" w:fill="FFFFFF"/>
              <w:spacing w:before="0" w:beforeAutospacing="0" w:after="180" w:afterAutospacing="0" w:line="450" w:lineRule="atLeast"/>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2．组织拟定企业内部财务管理办法。推行工作令号核算体系。</w:t>
            </w:r>
          </w:p>
          <w:p>
            <w:pPr>
              <w:pStyle w:val="5"/>
              <w:shd w:val="clear" w:color="auto" w:fill="FFFFFF"/>
              <w:spacing w:before="0" w:beforeAutospacing="0" w:after="180" w:afterAutospacing="0" w:line="450" w:lineRule="atLeast"/>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3．根据企业编制的财务预算方案组织企业的生产经营。</w:t>
            </w:r>
          </w:p>
          <w:p>
            <w:pPr>
              <w:pStyle w:val="5"/>
              <w:shd w:val="clear" w:color="auto" w:fill="FFFFFF"/>
              <w:spacing w:before="0" w:beforeAutospacing="0" w:after="180" w:afterAutospacing="0" w:line="450" w:lineRule="atLeast"/>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4．督促财务部门准确核算，如实反映企业财务状况，依法计算和缴纳国家税收，保证投资者权益不受侵犯。</w:t>
            </w:r>
          </w:p>
          <w:p>
            <w:pPr>
              <w:pStyle w:val="5"/>
              <w:shd w:val="clear" w:color="auto" w:fill="FFFFFF"/>
              <w:spacing w:before="0" w:beforeAutospacing="0" w:after="180" w:afterAutospacing="0" w:line="450" w:lineRule="atLeast"/>
              <w:rPr>
                <w:rFonts w:asciiTheme="minorEastAsia" w:hAnsiTheme="minorEastAsia" w:eastAsiaTheme="minorEastAsia"/>
                <w:color w:val="000000"/>
                <w:sz w:val="18"/>
                <w:szCs w:val="18"/>
              </w:rPr>
            </w:pPr>
            <w:r>
              <w:rPr>
                <w:rFonts w:hint="eastAsia" w:cs="Arial" w:asciiTheme="minorEastAsia" w:hAnsiTheme="minorEastAsia" w:eastAsiaTheme="minorEastAsia"/>
                <w:sz w:val="21"/>
                <w:szCs w:val="21"/>
              </w:rPr>
              <w:t>5．支持会计人员依法行使职权自觉接受上级部门、财政、税收、银行、审计机关的财务检查和监督</w:t>
            </w:r>
          </w:p>
        </w:tc>
        <w:tc>
          <w:tcPr>
            <w:tcW w:w="2835" w:type="dxa"/>
            <w:shd w:val="clear" w:color="auto" w:fill="auto"/>
          </w:tcPr>
          <w:p>
            <w:pPr>
              <w:pStyle w:val="5"/>
              <w:shd w:val="clear" w:color="auto" w:fill="FFFFFF"/>
              <w:spacing w:before="0" w:beforeAutospacing="0" w:after="180" w:afterAutospacing="0" w:line="450" w:lineRule="atLeast"/>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认真贯彻执行国家财经法规、制度，督促财务部门执行“企业会计制度”加强财务管理和经济效益。</w:t>
            </w:r>
          </w:p>
          <w:p>
            <w:pPr>
              <w:pStyle w:val="5"/>
              <w:shd w:val="clear" w:color="auto" w:fill="FFFFFF"/>
              <w:spacing w:before="0" w:beforeAutospacing="0" w:after="180" w:afterAutospacing="0" w:line="450" w:lineRule="atLeast"/>
              <w:rPr>
                <w:rFonts w:asciiTheme="minorEastAsia" w:hAnsiTheme="minorEastAsia" w:eastAsiaTheme="minorEastAsia"/>
                <w:color w:val="000000"/>
                <w:sz w:val="18"/>
                <w:szCs w:val="18"/>
              </w:rPr>
            </w:pPr>
          </w:p>
        </w:tc>
        <w:tc>
          <w:tcPr>
            <w:tcW w:w="1134" w:type="dxa"/>
            <w:shd w:val="clear" w:color="auto" w:fill="auto"/>
          </w:tcPr>
          <w:p>
            <w:pPr>
              <w:rPr>
                <w:rStyle w:val="8"/>
                <w:rFonts w:asciiTheme="minorEastAsia" w:hAnsiTheme="minorEastAsia" w:eastAsiaTheme="minorEastAsia"/>
                <w:b w:val="0"/>
                <w:szCs w:val="21"/>
              </w:rPr>
            </w:pPr>
            <w:r>
              <w:rPr>
                <w:rStyle w:val="8"/>
                <w:rFonts w:hint="eastAsia" w:asciiTheme="minorEastAsia" w:hAnsiTheme="minorEastAsia" w:eastAsiaTheme="minorEastAsia"/>
                <w:b w:val="0"/>
                <w:szCs w:val="21"/>
              </w:rPr>
              <w:t>财务管理</w:t>
            </w:r>
          </w:p>
        </w:tc>
        <w:tc>
          <w:tcPr>
            <w:tcW w:w="1561" w:type="dxa"/>
            <w:shd w:val="clear" w:color="auto" w:fill="auto"/>
          </w:tcPr>
          <w:p>
            <w:pPr>
              <w:widowControl/>
              <w:spacing w:line="360" w:lineRule="auto"/>
              <w:jc w:val="left"/>
              <w:rPr>
                <w:rFonts w:cs="Arial" w:asciiTheme="minorEastAsia" w:hAnsiTheme="minorEastAsia" w:eastAsiaTheme="minorEastAsia"/>
                <w:b/>
                <w:bCs/>
                <w:kern w:val="0"/>
                <w:szCs w:val="21"/>
              </w:rPr>
            </w:pPr>
          </w:p>
        </w:tc>
      </w:tr>
    </w:tbl>
    <w:p>
      <w:pPr>
        <w:spacing w:line="360" w:lineRule="auto"/>
        <w:ind w:firstLine="422" w:firstLineChars="200"/>
        <w:rPr>
          <w:rStyle w:val="8"/>
          <w:rFonts w:ascii="宋体" w:hAnsi="宋体"/>
          <w:szCs w:val="21"/>
        </w:rPr>
      </w:pPr>
    </w:p>
    <w:p>
      <w:pPr>
        <w:spacing w:line="360" w:lineRule="auto"/>
        <w:ind w:firstLine="417" w:firstLineChars="198"/>
        <w:rPr>
          <w:rStyle w:val="8"/>
          <w:rFonts w:ascii="宋体" w:hAnsi="宋体"/>
          <w:szCs w:val="21"/>
        </w:rPr>
      </w:pPr>
      <w:r>
        <w:rPr>
          <w:rFonts w:hint="eastAsia" w:ascii="宋体" w:hAnsi="宋体"/>
          <w:b/>
          <w:szCs w:val="21"/>
        </w:rPr>
        <w:t>五</w:t>
      </w:r>
      <w:r>
        <w:rPr>
          <w:rFonts w:hint="eastAsia" w:ascii="宋体" w:hAnsi="宋体"/>
          <w:szCs w:val="21"/>
        </w:rPr>
        <w:t>、</w:t>
      </w:r>
      <w:r>
        <w:rPr>
          <w:rStyle w:val="8"/>
          <w:rFonts w:hint="eastAsia" w:ascii="宋体" w:hAnsi="宋体"/>
          <w:szCs w:val="21"/>
        </w:rPr>
        <w:t>培养目标</w:t>
      </w:r>
    </w:p>
    <w:p>
      <w:pPr>
        <w:spacing w:line="360" w:lineRule="auto"/>
        <w:ind w:firstLine="415" w:firstLineChars="198"/>
        <w:rPr>
          <w:rFonts w:ascii="宋体" w:hAnsi="宋体"/>
          <w:b/>
          <w:szCs w:val="21"/>
        </w:rPr>
      </w:pPr>
      <w:r>
        <w:rPr>
          <w:rFonts w:hint="eastAsia" w:ascii="宋体" w:hAnsi="宋体" w:cs="Arial"/>
          <w:kern w:val="0"/>
          <w:szCs w:val="21"/>
        </w:rPr>
        <w:t>本专业培养理想信念坚定，德、智、体、美、劳全面发展，具有一定的科学文化水平，良好的人文素养、职业道德和创新意识，精益求精的工匠精神，较强的就业能力和可持续发展能力；掌握现代管理、经济、金融、会计、财务管理方面的基本理论和基本知识，熟悉相关法律、法规和惯例，具备分析和解决财务管理问题的基本能力，面向各类中小微企业、金融机构、行政事业单位的会计专业人员、税务专业人员等职业群，能够从事会计、财务分析、预算管理、投融资管理、成本管理、税务管理、绩效管理等工作的高素质技术技能人才。</w:t>
      </w:r>
    </w:p>
    <w:p>
      <w:pPr>
        <w:spacing w:line="360" w:lineRule="auto"/>
        <w:ind w:firstLine="417" w:firstLineChars="198"/>
        <w:rPr>
          <w:rFonts w:ascii="宋体" w:hAnsi="宋体"/>
          <w:bCs/>
          <w:szCs w:val="21"/>
        </w:rPr>
      </w:pPr>
      <w:r>
        <w:rPr>
          <w:rFonts w:hint="eastAsia" w:ascii="宋体" w:hAnsi="宋体"/>
          <w:b/>
          <w:szCs w:val="21"/>
        </w:rPr>
        <w:t>六、</w:t>
      </w:r>
      <w:r>
        <w:rPr>
          <w:rStyle w:val="8"/>
          <w:rFonts w:hint="eastAsia" w:ascii="宋体" w:hAnsi="宋体"/>
          <w:szCs w:val="21"/>
        </w:rPr>
        <w:t>培养规格</w:t>
      </w:r>
    </w:p>
    <w:p>
      <w:pPr>
        <w:spacing w:line="400" w:lineRule="exact"/>
        <w:ind w:firstLine="435"/>
        <w:rPr>
          <w:b/>
        </w:rPr>
      </w:pPr>
      <w:r>
        <w:rPr>
          <w:rFonts w:hint="eastAsia"/>
          <w:b/>
        </w:rPr>
        <w:t>（一）素质</w:t>
      </w:r>
    </w:p>
    <w:p>
      <w:pPr>
        <w:spacing w:line="360" w:lineRule="auto"/>
        <w:ind w:firstLine="420" w:firstLineChars="200"/>
        <w:rPr>
          <w:rFonts w:ascii="宋体" w:hAnsi="宋体"/>
          <w:szCs w:val="21"/>
        </w:rPr>
      </w:pPr>
      <w:r>
        <w:rPr>
          <w:rFonts w:hint="eastAsia" w:ascii="宋体" w:hAnsi="宋体"/>
          <w:szCs w:val="21"/>
        </w:rPr>
        <w:t>（1）思想政治素质：坚定拥护中国共产党的领导和社会主义制度，在习近平新时代中国特色社会主义思想指引下，践行社会主义核心价值观，具有深厚的爱国情感和中华民族自豪感；崇尚宪法、遵法守纪、崇德向善、诚实守信、尊重生命、热爱劳动，履行道德准则和行为规范，具有社会责任感和社会参与意识；具有质量意识、环保意识、安全意识、科学素养、信息素养、工匠精神、创新思维；有较强的集体意识和团队合作精神。</w:t>
      </w:r>
      <w:r>
        <w:rPr>
          <w:rFonts w:ascii="宋体" w:hAnsi="宋体"/>
          <w:szCs w:val="21"/>
        </w:rPr>
        <w:t xml:space="preserve"> </w:t>
      </w:r>
    </w:p>
    <w:p>
      <w:pPr>
        <w:spacing w:line="360" w:lineRule="auto"/>
        <w:ind w:firstLine="420" w:firstLineChars="200"/>
        <w:rPr>
          <w:rFonts w:ascii="宋体" w:hAnsi="宋体"/>
          <w:szCs w:val="21"/>
        </w:rPr>
      </w:pPr>
      <w:r>
        <w:rPr>
          <w:rFonts w:hint="eastAsia" w:ascii="宋体" w:hAnsi="宋体"/>
          <w:szCs w:val="21"/>
        </w:rPr>
        <w:t>（2）文化素质:具有较高的审美情趣、文化品味、人文素养；具有时代精神和较强的人际交往能力；积极乐观地生活，充满责任感地工作。</w:t>
      </w:r>
    </w:p>
    <w:p>
      <w:pPr>
        <w:spacing w:line="360" w:lineRule="auto"/>
        <w:ind w:firstLine="420" w:firstLineChars="200"/>
        <w:rPr>
          <w:rFonts w:ascii="宋体" w:hAnsi="宋体"/>
          <w:szCs w:val="21"/>
        </w:rPr>
      </w:pPr>
      <w:r>
        <w:rPr>
          <w:rFonts w:hint="eastAsia" w:ascii="宋体" w:hAnsi="宋体"/>
          <w:szCs w:val="21"/>
        </w:rPr>
        <w:t>（3）职业素质：具有探究学习、终身学习、分析问题和解决问题的能力；具有良好的语言、文字表达能力和沟通能力；具有文字、表格、图像的计算机处理能力，本专业必需的信息技术应用能力；具备会计核算、成本计算、成本分析、成本控制与成本效益评价以及财务分析与决策能力；具备预算管理、营运管理、投融资管理、绩效管理能力；具备企业涉税业务处理和税收筹划能力；具备企业内部控制与风险管理的能力。</w:t>
      </w:r>
    </w:p>
    <w:p>
      <w:pPr>
        <w:spacing w:line="360" w:lineRule="auto"/>
        <w:ind w:firstLine="420" w:firstLineChars="200"/>
        <w:rPr>
          <w:rFonts w:ascii="宋体" w:hAnsi="宋体"/>
          <w:szCs w:val="21"/>
        </w:rPr>
      </w:pPr>
      <w:r>
        <w:rPr>
          <w:rFonts w:hint="eastAsia" w:ascii="宋体" w:hAnsi="宋体"/>
          <w:szCs w:val="21"/>
        </w:rPr>
        <w:t>（4）身心素质：具有良好的职业道德和职业精神；具有不断突破自我的进取精神及面对挑战和挫折的乐观主义态度；具有良好的心理承受能力和应变能力；拥有健康的体魄，掌握保持身体健康的体育锻炼方法。</w:t>
      </w:r>
    </w:p>
    <w:p>
      <w:pPr>
        <w:spacing w:line="400" w:lineRule="exact"/>
        <w:ind w:firstLine="316" w:firstLineChars="150"/>
        <w:rPr>
          <w:b/>
        </w:rPr>
      </w:pPr>
      <w:r>
        <w:rPr>
          <w:rFonts w:hint="eastAsia"/>
          <w:b/>
        </w:rPr>
        <w:t xml:space="preserve">（二）知识 </w:t>
      </w:r>
    </w:p>
    <w:p>
      <w:pPr>
        <w:spacing w:line="360" w:lineRule="auto"/>
        <w:ind w:firstLine="420" w:firstLineChars="200"/>
        <w:rPr>
          <w:rFonts w:ascii="宋体" w:hAnsi="宋体"/>
          <w:szCs w:val="21"/>
        </w:rPr>
      </w:pPr>
      <w:r>
        <w:rPr>
          <w:rFonts w:hint="eastAsia" w:ascii="宋体" w:hAnsi="宋体"/>
          <w:szCs w:val="21"/>
        </w:rPr>
        <w:t>（1）掌握本专业培养目标所要求的基础理论知识、专业知识和技能。</w:t>
      </w:r>
    </w:p>
    <w:p>
      <w:pPr>
        <w:spacing w:line="360" w:lineRule="auto"/>
        <w:ind w:firstLine="420" w:firstLineChars="200"/>
        <w:rPr>
          <w:rFonts w:ascii="宋体" w:hAnsi="宋体"/>
          <w:szCs w:val="21"/>
        </w:rPr>
      </w:pPr>
      <w:r>
        <w:rPr>
          <w:rFonts w:hint="eastAsia" w:ascii="宋体" w:hAnsi="宋体"/>
          <w:szCs w:val="21"/>
        </w:rPr>
        <w:t>（2）具备分析和解决企业财务管理、税务实际问题的能力。</w:t>
      </w:r>
    </w:p>
    <w:p>
      <w:pPr>
        <w:spacing w:line="360" w:lineRule="auto"/>
        <w:ind w:firstLine="420" w:firstLineChars="200"/>
        <w:rPr>
          <w:rFonts w:ascii="宋体" w:hAnsi="宋体"/>
          <w:szCs w:val="21"/>
        </w:rPr>
      </w:pPr>
      <w:r>
        <w:rPr>
          <w:rFonts w:hint="eastAsia" w:ascii="宋体" w:hAnsi="宋体"/>
          <w:szCs w:val="21"/>
        </w:rPr>
        <w:t>（3）掌握会计学相关的基本理论、基本知识；掌握财务管理的基本理论、基本方法及基本知识；掌握税收政策及相关法律法规知识。</w:t>
      </w:r>
    </w:p>
    <w:p>
      <w:pPr>
        <w:spacing w:line="360" w:lineRule="auto"/>
        <w:ind w:firstLine="420" w:firstLineChars="200"/>
        <w:rPr>
          <w:rFonts w:ascii="宋体" w:hAnsi="宋体"/>
          <w:szCs w:val="21"/>
        </w:rPr>
      </w:pPr>
      <w:r>
        <w:rPr>
          <w:rFonts w:hint="eastAsia" w:ascii="宋体" w:hAnsi="宋体"/>
          <w:szCs w:val="21"/>
        </w:rPr>
        <w:t>（</w:t>
      </w:r>
      <w:r>
        <w:rPr>
          <w:rFonts w:ascii="宋体" w:hAnsi="宋体"/>
          <w:szCs w:val="21"/>
        </w:rPr>
        <w:t>4</w:t>
      </w:r>
      <w:r>
        <w:rPr>
          <w:rFonts w:hint="eastAsia" w:ascii="宋体" w:hAnsi="宋体"/>
          <w:szCs w:val="21"/>
        </w:rPr>
        <w:t>）掌握会计核算和财务管理的专业技能。</w:t>
      </w:r>
    </w:p>
    <w:p>
      <w:pPr>
        <w:spacing w:line="360" w:lineRule="auto"/>
        <w:ind w:firstLine="420" w:firstLineChars="200"/>
        <w:rPr>
          <w:rFonts w:ascii="宋体" w:hAnsi="宋体"/>
          <w:szCs w:val="21"/>
        </w:rPr>
      </w:pPr>
      <w:r>
        <w:rPr>
          <w:rFonts w:hint="eastAsia" w:ascii="宋体" w:hAnsi="宋体"/>
          <w:szCs w:val="21"/>
        </w:rPr>
        <w:t>（</w:t>
      </w:r>
      <w:r>
        <w:rPr>
          <w:rFonts w:ascii="宋体" w:hAnsi="宋体"/>
          <w:szCs w:val="21"/>
        </w:rPr>
        <w:t>5</w:t>
      </w:r>
      <w:r>
        <w:rPr>
          <w:rFonts w:hint="eastAsia" w:ascii="宋体" w:hAnsi="宋体"/>
          <w:szCs w:val="21"/>
        </w:rPr>
        <w:t>）掌握会计业务处理、成本核算与控制、理财规划、税收筹划等职业能力等实际工作的基本素质。</w:t>
      </w:r>
    </w:p>
    <w:p>
      <w:pPr>
        <w:numPr>
          <w:ilvl w:val="0"/>
          <w:numId w:val="1"/>
        </w:numPr>
        <w:ind w:firstLine="316" w:firstLineChars="150"/>
        <w:rPr>
          <w:b/>
        </w:rPr>
      </w:pPr>
      <w:r>
        <w:rPr>
          <w:rFonts w:hint="eastAsia"/>
          <w:b/>
        </w:rPr>
        <w:t>能力</w:t>
      </w:r>
    </w:p>
    <w:p>
      <w:pPr>
        <w:spacing w:line="360" w:lineRule="auto"/>
        <w:ind w:firstLine="420" w:firstLineChars="200"/>
        <w:rPr>
          <w:rFonts w:ascii="宋体" w:hAnsi="宋体"/>
          <w:szCs w:val="21"/>
        </w:rPr>
      </w:pPr>
      <w:r>
        <w:rPr>
          <w:rFonts w:hint="eastAsia" w:ascii="宋体" w:hAnsi="宋体"/>
          <w:szCs w:val="21"/>
        </w:rPr>
        <w:t>（1）具备拟定企事业单位财务管理相关制度，撰写调研报告等工作的能力；</w:t>
      </w:r>
    </w:p>
    <w:p>
      <w:pPr>
        <w:spacing w:line="360" w:lineRule="auto"/>
        <w:ind w:firstLine="420" w:firstLineChars="200"/>
        <w:rPr>
          <w:rFonts w:ascii="宋体" w:hAnsi="宋体"/>
          <w:szCs w:val="21"/>
        </w:rPr>
      </w:pPr>
      <w:r>
        <w:rPr>
          <w:rFonts w:hint="eastAsia" w:ascii="宋体" w:hAnsi="宋体"/>
          <w:szCs w:val="21"/>
        </w:rPr>
        <w:t>（2）具备企业投融资理财的基本操作技能，具有分析企业财务状况的能力。</w:t>
      </w:r>
    </w:p>
    <w:p>
      <w:pPr>
        <w:spacing w:line="360" w:lineRule="auto"/>
        <w:ind w:firstLine="420" w:firstLineChars="200"/>
        <w:rPr>
          <w:rFonts w:ascii="宋体" w:hAnsi="宋体"/>
          <w:szCs w:val="21"/>
        </w:rPr>
      </w:pPr>
      <w:r>
        <w:rPr>
          <w:rFonts w:hint="eastAsia" w:ascii="宋体" w:hAnsi="宋体"/>
          <w:szCs w:val="21"/>
        </w:rPr>
        <w:t>（3）具备综合运用财务管理知识发现并解决企事业单位实际问题额的能力。</w:t>
      </w:r>
    </w:p>
    <w:p>
      <w:pPr>
        <w:spacing w:line="360" w:lineRule="auto"/>
        <w:ind w:firstLine="420" w:firstLineChars="200"/>
        <w:rPr>
          <w:rFonts w:ascii="宋体" w:hAnsi="宋体"/>
          <w:szCs w:val="21"/>
        </w:rPr>
      </w:pPr>
      <w:r>
        <w:rPr>
          <w:rFonts w:hint="eastAsia" w:ascii="宋体" w:hAnsi="宋体"/>
          <w:szCs w:val="21"/>
        </w:rPr>
        <w:t>（4）具备为高层管理者提供经营决策、投融资决策等所需信息的能力。</w:t>
      </w:r>
    </w:p>
    <w:p>
      <w:pPr>
        <w:spacing w:line="360" w:lineRule="auto"/>
        <w:ind w:firstLine="420" w:firstLineChars="200"/>
        <w:rPr>
          <w:rFonts w:ascii="宋体" w:hAnsi="宋体"/>
          <w:szCs w:val="21"/>
        </w:rPr>
      </w:pPr>
      <w:r>
        <w:rPr>
          <w:rFonts w:hint="eastAsia" w:ascii="宋体" w:hAnsi="宋体"/>
          <w:szCs w:val="21"/>
        </w:rPr>
        <w:t>（5）具备从事企事业单位涉税专项服务的职业能力。</w:t>
      </w:r>
    </w:p>
    <w:p>
      <w:pPr>
        <w:spacing w:line="360" w:lineRule="auto"/>
        <w:ind w:firstLine="420" w:firstLineChars="200"/>
        <w:rPr>
          <w:rFonts w:ascii="宋体" w:hAnsi="宋体"/>
          <w:szCs w:val="21"/>
        </w:rPr>
      </w:pPr>
      <w:r>
        <w:rPr>
          <w:rFonts w:hint="eastAsia" w:ascii="宋体" w:hAnsi="宋体"/>
          <w:szCs w:val="21"/>
        </w:rPr>
        <w:t>（6）具备综合应用各种手段查询资料、获取信息、拓展知识领域及继续学习的能力。</w:t>
      </w:r>
    </w:p>
    <w:p>
      <w:pPr>
        <w:spacing w:line="360" w:lineRule="auto"/>
        <w:ind w:firstLine="417" w:firstLineChars="198"/>
        <w:rPr>
          <w:rFonts w:ascii="宋体" w:hAnsi="宋体"/>
          <w:b/>
          <w:szCs w:val="21"/>
        </w:rPr>
      </w:pPr>
      <w:r>
        <w:rPr>
          <w:rFonts w:hint="eastAsia" w:ascii="宋体" w:hAnsi="宋体"/>
          <w:b/>
          <w:szCs w:val="21"/>
        </w:rPr>
        <w:t>七、毕业要求</w:t>
      </w:r>
    </w:p>
    <w:p>
      <w:pPr>
        <w:spacing w:line="360" w:lineRule="auto"/>
        <w:ind w:firstLine="417" w:firstLineChars="198"/>
        <w:rPr>
          <w:rFonts w:ascii="宋体" w:hAnsi="宋体"/>
          <w:b/>
          <w:bCs/>
          <w:szCs w:val="21"/>
        </w:rPr>
      </w:pPr>
      <w:r>
        <w:rPr>
          <w:rFonts w:hint="eastAsia" w:ascii="宋体" w:hAnsi="宋体"/>
          <w:b/>
          <w:bCs/>
          <w:szCs w:val="21"/>
        </w:rPr>
        <w:t>1．毕业要求</w:t>
      </w:r>
    </w:p>
    <w:p>
      <w:pPr>
        <w:spacing w:line="360" w:lineRule="auto"/>
        <w:ind w:firstLine="415" w:firstLineChars="198"/>
        <w:rPr>
          <w:rFonts w:ascii="宋体" w:hAnsi="宋体"/>
          <w:szCs w:val="21"/>
        </w:rPr>
      </w:pPr>
      <w:r>
        <w:rPr>
          <w:rFonts w:hint="eastAsia" w:ascii="宋体" w:hAnsi="宋体"/>
          <w:szCs w:val="21"/>
        </w:rPr>
        <w:t>（1）毕业总学分不得低于</w:t>
      </w:r>
      <w:r>
        <w:rPr>
          <w:rFonts w:ascii="宋体" w:hAnsi="宋体"/>
          <w:szCs w:val="21"/>
        </w:rPr>
        <w:t>144</w:t>
      </w:r>
      <w:r>
        <w:rPr>
          <w:rFonts w:hint="eastAsia" w:ascii="宋体" w:hAnsi="宋体"/>
          <w:szCs w:val="21"/>
        </w:rPr>
        <w:t>学分，必修学分</w:t>
      </w:r>
      <w:r>
        <w:rPr>
          <w:rFonts w:ascii="宋体" w:hAnsi="宋体"/>
          <w:szCs w:val="21"/>
        </w:rPr>
        <w:t>110</w:t>
      </w:r>
      <w:r>
        <w:rPr>
          <w:rFonts w:hint="eastAsia" w:ascii="宋体" w:hAnsi="宋体"/>
          <w:szCs w:val="21"/>
        </w:rPr>
        <w:t>学分，选修学分不低于</w:t>
      </w:r>
      <w:r>
        <w:rPr>
          <w:rFonts w:ascii="宋体" w:hAnsi="宋体"/>
          <w:szCs w:val="21"/>
        </w:rPr>
        <w:t>36</w:t>
      </w:r>
      <w:r>
        <w:rPr>
          <w:rFonts w:hint="eastAsia" w:ascii="宋体" w:hAnsi="宋体"/>
          <w:szCs w:val="21"/>
        </w:rPr>
        <w:t>学分。</w:t>
      </w:r>
    </w:p>
    <w:p>
      <w:pPr>
        <w:spacing w:line="360" w:lineRule="auto"/>
        <w:ind w:firstLine="415" w:firstLineChars="198"/>
        <w:rPr>
          <w:rFonts w:ascii="宋体" w:hAnsi="宋体"/>
          <w:szCs w:val="21"/>
        </w:rPr>
      </w:pPr>
      <w:r>
        <w:rPr>
          <w:rFonts w:hint="eastAsia" w:ascii="宋体" w:hAnsi="宋体"/>
          <w:szCs w:val="21"/>
        </w:rPr>
        <w:t>（2）项目替代学分。比赛获奖、考证、参加项目开发等根据专业认定可以替换专业非核心岗位课程学分。替换学分不得超过</w:t>
      </w:r>
      <w:r>
        <w:rPr>
          <w:rFonts w:ascii="宋体" w:hAnsi="宋体"/>
          <w:szCs w:val="21"/>
        </w:rPr>
        <w:t>15</w:t>
      </w:r>
      <w:r>
        <w:rPr>
          <w:rFonts w:hint="eastAsia" w:ascii="宋体" w:hAnsi="宋体"/>
          <w:szCs w:val="21"/>
        </w:rPr>
        <w:t>学分。</w:t>
      </w:r>
    </w:p>
    <w:p>
      <w:pPr>
        <w:spacing w:line="360" w:lineRule="auto"/>
        <w:ind w:firstLine="415" w:firstLineChars="198"/>
        <w:rPr>
          <w:rFonts w:ascii="宋体" w:hAnsi="宋体"/>
          <w:szCs w:val="21"/>
        </w:rPr>
      </w:pPr>
      <w:r>
        <w:rPr>
          <w:rFonts w:hint="eastAsia" w:ascii="宋体" w:hAnsi="宋体"/>
          <w:szCs w:val="21"/>
        </w:rPr>
        <w:t>在校期间参与项目开发每周可替换非专业核心课1学分，但累计不得超过10学分；参与专业技能竞赛最多可替换非专业核心课5学分（省级一等奖、二等奖、三等奖分别可替换3学分、2学分、1学分；国家级一等奖、二等奖、三等奖分别可替换5学分、4学分、3学分）。</w:t>
      </w:r>
    </w:p>
    <w:tbl>
      <w:tblPr>
        <w:tblStyle w:val="6"/>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158"/>
        <w:gridCol w:w="6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2"/>
          </w:tcPr>
          <w:p>
            <w:pPr>
              <w:spacing w:line="360" w:lineRule="auto"/>
              <w:jc w:val="center"/>
              <w:rPr>
                <w:rFonts w:ascii="宋体" w:hAnsi="宋体"/>
                <w:szCs w:val="21"/>
              </w:rPr>
            </w:pPr>
            <w:r>
              <w:rPr>
                <w:rFonts w:hint="eastAsia" w:ascii="宋体" w:hAnsi="宋体"/>
                <w:szCs w:val="21"/>
              </w:rPr>
              <w:t>类别</w:t>
            </w:r>
          </w:p>
        </w:tc>
        <w:tc>
          <w:tcPr>
            <w:tcW w:w="6260" w:type="dxa"/>
          </w:tcPr>
          <w:p>
            <w:pPr>
              <w:spacing w:line="360" w:lineRule="auto"/>
              <w:jc w:val="center"/>
              <w:rPr>
                <w:rFonts w:ascii="宋体" w:hAnsi="宋体"/>
                <w:szCs w:val="21"/>
              </w:rPr>
            </w:pPr>
            <w:r>
              <w:rPr>
                <w:rFonts w:hint="eastAsia" w:ascii="宋体" w:hAnsi="宋体"/>
                <w:szCs w:val="21"/>
              </w:rPr>
              <w:t>可替换学分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宋体" w:hAnsi="宋体"/>
                <w:szCs w:val="21"/>
              </w:rPr>
            </w:pPr>
            <w:r>
              <w:rPr>
                <w:rFonts w:hint="eastAsia" w:ascii="宋体" w:hAnsi="宋体"/>
                <w:szCs w:val="21"/>
              </w:rPr>
              <w:t>技能竞赛类</w:t>
            </w:r>
          </w:p>
        </w:tc>
        <w:tc>
          <w:tcPr>
            <w:tcW w:w="2158" w:type="dxa"/>
          </w:tcPr>
          <w:p>
            <w:pPr>
              <w:spacing w:line="360" w:lineRule="auto"/>
              <w:rPr>
                <w:rFonts w:ascii="宋体" w:hAnsi="宋体"/>
                <w:szCs w:val="21"/>
              </w:rPr>
            </w:pPr>
            <w:r>
              <w:rPr>
                <w:rFonts w:hint="eastAsia" w:ascii="宋体" w:hAnsi="宋体"/>
                <w:szCs w:val="21"/>
              </w:rPr>
              <w:t>教育行政主管部门组织的竞赛</w:t>
            </w:r>
          </w:p>
        </w:tc>
        <w:tc>
          <w:tcPr>
            <w:tcW w:w="6260" w:type="dxa"/>
          </w:tcPr>
          <w:p>
            <w:pPr>
              <w:spacing w:line="360" w:lineRule="auto"/>
              <w:rPr>
                <w:rFonts w:ascii="宋体" w:hAnsi="宋体"/>
                <w:szCs w:val="21"/>
              </w:rPr>
            </w:pPr>
            <w:r>
              <w:rPr>
                <w:rFonts w:hint="eastAsia" w:ascii="宋体" w:hAnsi="宋体"/>
                <w:szCs w:val="21"/>
              </w:rPr>
              <w:t>市级三等奖、二等奖、一等奖、特等奖可分别替换0.5学分、1学分、2学分、3学分；省级优秀奖、三等奖、二等奖、一等奖、特等奖可分别替换2学分、3学分、4学分、5学分、6学分；国家级优秀奖、三等奖、二等奖、一等奖、特等奖可分别替换5学分、6学分、7学分、8学分、9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hint="eastAsia" w:ascii="宋体" w:hAnsi="宋体"/>
                <w:szCs w:val="21"/>
              </w:rPr>
              <w:t>其他行业协会或社会组织的竞赛</w:t>
            </w:r>
          </w:p>
        </w:tc>
        <w:tc>
          <w:tcPr>
            <w:tcW w:w="6260" w:type="dxa"/>
          </w:tcPr>
          <w:p>
            <w:pPr>
              <w:spacing w:line="360" w:lineRule="auto"/>
              <w:rPr>
                <w:rFonts w:ascii="宋体" w:hAnsi="宋体"/>
                <w:szCs w:val="21"/>
              </w:rPr>
            </w:pPr>
            <w:r>
              <w:rPr>
                <w:rFonts w:hint="eastAsia" w:ascii="宋体" w:hAnsi="宋体"/>
                <w:szCs w:val="21"/>
              </w:rPr>
              <w:t>市级一等奖、特等奖可分别替换0.5学分、1学分；省级优秀奖、三等奖、二等奖、一等奖、特等奖可分别替换1学分、2学分、3学分、4学分、5学分；国家级优秀奖、三等奖、二等奖、一等奖、特等奖可分别替换4学分、5学分、6学分、7学分、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hint="eastAsia" w:ascii="宋体" w:hAnsi="宋体"/>
                <w:szCs w:val="21"/>
              </w:rPr>
              <w:t>校级竞赛</w:t>
            </w:r>
          </w:p>
        </w:tc>
        <w:tc>
          <w:tcPr>
            <w:tcW w:w="6260" w:type="dxa"/>
          </w:tcPr>
          <w:p>
            <w:pPr>
              <w:spacing w:line="360" w:lineRule="auto"/>
              <w:rPr>
                <w:rFonts w:ascii="宋体" w:hAnsi="宋体"/>
                <w:szCs w:val="21"/>
              </w:rPr>
            </w:pPr>
            <w:r>
              <w:rPr>
                <w:rFonts w:hint="eastAsia" w:ascii="宋体" w:hAnsi="宋体"/>
                <w:szCs w:val="21"/>
              </w:rPr>
              <w:t>校级技能竞赛一等奖以上可替换0.5学分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宋体" w:hAnsi="宋体"/>
                <w:szCs w:val="21"/>
              </w:rPr>
            </w:pPr>
            <w:r>
              <w:rPr>
                <w:rFonts w:hint="eastAsia" w:ascii="宋体" w:hAnsi="宋体"/>
                <w:szCs w:val="21"/>
              </w:rPr>
              <w:t>项目开发类</w:t>
            </w:r>
          </w:p>
        </w:tc>
        <w:tc>
          <w:tcPr>
            <w:tcW w:w="2158" w:type="dxa"/>
          </w:tcPr>
          <w:p>
            <w:pPr>
              <w:spacing w:line="360" w:lineRule="auto"/>
              <w:rPr>
                <w:rFonts w:ascii="宋体" w:hAnsi="宋体"/>
                <w:szCs w:val="21"/>
              </w:rPr>
            </w:pPr>
            <w:r>
              <w:rPr>
                <w:rFonts w:hint="eastAsia" w:ascii="宋体" w:hAnsi="宋体"/>
                <w:szCs w:val="21"/>
              </w:rPr>
              <w:t>自主实施的项目开发</w:t>
            </w:r>
          </w:p>
        </w:tc>
        <w:tc>
          <w:tcPr>
            <w:tcW w:w="6260" w:type="dxa"/>
          </w:tcPr>
          <w:p>
            <w:pPr>
              <w:spacing w:line="360" w:lineRule="auto"/>
              <w:rPr>
                <w:rFonts w:ascii="宋体" w:hAnsi="宋体"/>
                <w:szCs w:val="21"/>
              </w:rPr>
            </w:pPr>
            <w:r>
              <w:rPr>
                <w:rFonts w:hint="eastAsia" w:ascii="宋体" w:hAnsi="宋体"/>
                <w:szCs w:val="21"/>
              </w:rPr>
              <w:t>提供合作企业证明文件、工商登记证明等有效证明文件由专业负责人认定可替换学分。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hint="eastAsia" w:ascii="宋体" w:hAnsi="宋体"/>
                <w:szCs w:val="21"/>
              </w:rPr>
              <w:t>参与老师组织的项目开发</w:t>
            </w:r>
          </w:p>
        </w:tc>
        <w:tc>
          <w:tcPr>
            <w:tcW w:w="6260" w:type="dxa"/>
          </w:tcPr>
          <w:p>
            <w:pPr>
              <w:spacing w:line="360" w:lineRule="auto"/>
              <w:rPr>
                <w:rFonts w:ascii="宋体" w:hAnsi="宋体"/>
                <w:szCs w:val="21"/>
              </w:rPr>
            </w:pPr>
            <w:r>
              <w:rPr>
                <w:rFonts w:hint="eastAsia" w:ascii="宋体" w:hAnsi="宋体"/>
                <w:szCs w:val="21"/>
              </w:rPr>
              <w:t>参与老师组织的项目开发，由专业负责人和项目主持老师认定可替换学分，原则上参加2周替换1学分。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spacing w:line="360" w:lineRule="auto"/>
              <w:rPr>
                <w:rFonts w:ascii="宋体" w:hAnsi="宋体"/>
                <w:szCs w:val="21"/>
              </w:rPr>
            </w:pPr>
            <w:bookmarkStart w:id="0" w:name="_Hlk117502542"/>
            <w:r>
              <w:rPr>
                <w:rFonts w:hint="eastAsia" w:ascii="宋体" w:hAnsi="宋体"/>
                <w:szCs w:val="21"/>
              </w:rPr>
              <w:t>职业资格证书类</w:t>
            </w:r>
          </w:p>
        </w:tc>
        <w:tc>
          <w:tcPr>
            <w:tcW w:w="2158" w:type="dxa"/>
          </w:tcPr>
          <w:p>
            <w:pPr>
              <w:spacing w:line="360" w:lineRule="auto"/>
              <w:rPr>
                <w:rFonts w:ascii="宋体" w:hAnsi="宋体"/>
                <w:szCs w:val="21"/>
              </w:rPr>
            </w:pPr>
            <w:r>
              <w:rPr>
                <w:rFonts w:hint="eastAsia" w:ascii="宋体" w:hAnsi="宋体"/>
                <w:szCs w:val="21"/>
              </w:rPr>
              <w:t>初级会计职业资格证书</w:t>
            </w:r>
          </w:p>
        </w:tc>
        <w:tc>
          <w:tcPr>
            <w:tcW w:w="6260" w:type="dxa"/>
          </w:tcPr>
          <w:p>
            <w:pPr>
              <w:spacing w:line="360" w:lineRule="auto"/>
              <w:rPr>
                <w:rFonts w:ascii="宋体" w:hAnsi="宋体"/>
                <w:szCs w:val="21"/>
              </w:rPr>
            </w:pPr>
            <w:r>
              <w:rPr>
                <w:rFonts w:hint="eastAsia" w:ascii="宋体" w:hAnsi="宋体"/>
                <w:szCs w:val="21"/>
              </w:rPr>
              <w:t>取得可替换2学分</w:t>
            </w:r>
          </w:p>
        </w:tc>
      </w:tr>
      <w:bookmarkEnd w:id="0"/>
    </w:tbl>
    <w:p>
      <w:pPr>
        <w:adjustRightInd w:val="0"/>
        <w:snapToGrid w:val="0"/>
        <w:spacing w:line="360" w:lineRule="auto"/>
        <w:ind w:firstLine="525" w:firstLineChars="250"/>
        <w:rPr>
          <w:rFonts w:ascii="宋体" w:hAnsi="宋体"/>
          <w:szCs w:val="21"/>
        </w:rPr>
      </w:pPr>
    </w:p>
    <w:p>
      <w:pPr>
        <w:adjustRightInd w:val="0"/>
        <w:snapToGrid w:val="0"/>
        <w:spacing w:line="360" w:lineRule="auto"/>
        <w:ind w:firstLine="527" w:firstLineChars="250"/>
        <w:rPr>
          <w:rFonts w:ascii="宋体" w:hAnsi="宋体"/>
          <w:b/>
          <w:bCs/>
          <w:szCs w:val="21"/>
        </w:rPr>
      </w:pPr>
      <w:r>
        <w:rPr>
          <w:rFonts w:hint="eastAsia" w:ascii="宋体" w:hAnsi="宋体"/>
          <w:b/>
          <w:bCs/>
          <w:szCs w:val="21"/>
        </w:rPr>
        <w:t>2．考证要求</w:t>
      </w:r>
    </w:p>
    <w:p>
      <w:pPr>
        <w:adjustRightInd w:val="0"/>
        <w:snapToGrid w:val="0"/>
        <w:spacing w:line="360" w:lineRule="auto"/>
        <w:ind w:firstLine="525" w:firstLineChars="250"/>
        <w:rPr>
          <w:rFonts w:ascii="宋体" w:hAnsi="宋体"/>
          <w:szCs w:val="21"/>
        </w:rPr>
      </w:pPr>
      <w:r>
        <w:rPr>
          <w:rFonts w:hint="eastAsia" w:ascii="宋体" w:hAnsi="宋体"/>
          <w:szCs w:val="21"/>
        </w:rPr>
        <w:t>(1)</w:t>
      </w:r>
      <w:r>
        <w:rPr>
          <w:rFonts w:hint="eastAsia"/>
        </w:rPr>
        <w:t xml:space="preserve"> 计算机应用能力：</w:t>
      </w:r>
      <w:r>
        <w:rPr>
          <w:rFonts w:hint="eastAsia" w:ascii="宋体" w:hAnsi="宋体"/>
          <w:szCs w:val="21"/>
        </w:rPr>
        <w:t>获得全国计算机等级考试一级合格证书，或通过学校组织的计算机应用能力测试。英语应用能力：获得全国英语等级考试A级或B级证书，或通过学校组织的英语应用能力测试。至少取得1项职业资格证书或职业技能证书。</w:t>
      </w:r>
    </w:p>
    <w:p>
      <w:pPr>
        <w:adjustRightInd w:val="0"/>
        <w:snapToGrid w:val="0"/>
        <w:spacing w:line="360" w:lineRule="auto"/>
        <w:ind w:firstLine="525" w:firstLineChars="250"/>
        <w:rPr>
          <w:rFonts w:ascii="宋体" w:hAnsi="宋体"/>
          <w:szCs w:val="21"/>
        </w:rPr>
      </w:pPr>
      <w:r>
        <w:rPr>
          <w:rFonts w:hint="eastAsia" w:ascii="宋体" w:hAnsi="宋体"/>
          <w:szCs w:val="21"/>
        </w:rPr>
        <w:t>(2)</w:t>
      </w:r>
      <w:r>
        <w:t xml:space="preserve"> </w:t>
      </w:r>
      <w:r>
        <w:rPr>
          <w:rFonts w:hint="eastAsia"/>
        </w:rPr>
        <w:t>具备</w:t>
      </w:r>
      <w:r>
        <w:rPr>
          <w:rFonts w:hint="eastAsia" w:ascii="宋体" w:hAnsi="宋体"/>
          <w:szCs w:val="21"/>
        </w:rPr>
        <w:t>投融资管理、纳税管理、财务分析、会计业务处理、企业涉税业务处理和税收筹划等专业技能。</w:t>
      </w:r>
    </w:p>
    <w:p>
      <w:pPr>
        <w:adjustRightInd w:val="0"/>
        <w:snapToGrid w:val="0"/>
        <w:spacing w:line="360" w:lineRule="auto"/>
        <w:ind w:firstLine="525" w:firstLineChars="250"/>
        <w:rPr>
          <w:rFonts w:ascii="宋体" w:hAnsi="宋体"/>
          <w:szCs w:val="21"/>
        </w:rPr>
      </w:pPr>
      <w:bookmarkStart w:id="1" w:name="_Hlk118222910"/>
      <w:r>
        <w:rPr>
          <w:rFonts w:hint="eastAsia" w:ascii="宋体" w:hAnsi="宋体"/>
          <w:szCs w:val="21"/>
        </w:rPr>
        <w:t>职业资格证书：会计专业技术资格（初级）。</w:t>
      </w:r>
    </w:p>
    <w:p>
      <w:pPr>
        <w:adjustRightInd w:val="0"/>
        <w:snapToGrid w:val="0"/>
        <w:spacing w:line="360" w:lineRule="auto"/>
        <w:ind w:firstLine="525" w:firstLineChars="250"/>
        <w:rPr>
          <w:rFonts w:ascii="宋体" w:hAnsi="宋体"/>
          <w:szCs w:val="21"/>
        </w:rPr>
      </w:pPr>
      <w:r>
        <w:rPr>
          <w:rFonts w:hint="eastAsia" w:ascii="宋体" w:hAnsi="宋体"/>
          <w:szCs w:val="21"/>
        </w:rPr>
        <w:t>职业技能等级证书</w:t>
      </w:r>
      <w:r>
        <w:rPr>
          <w:rFonts w:ascii="宋体" w:hAnsi="宋体"/>
          <w:szCs w:val="21"/>
        </w:rPr>
        <w:t>:</w:t>
      </w:r>
      <w:r>
        <w:rPr>
          <w:rFonts w:hint="eastAsia" w:ascii="宋体" w:hAnsi="宋体"/>
          <w:szCs w:val="21"/>
        </w:rPr>
        <w:t>财务共享服务初级证书（初级）、健康财富规划证书。</w:t>
      </w:r>
    </w:p>
    <w:bookmarkEnd w:id="1"/>
    <w:p>
      <w:pPr>
        <w:spacing w:line="360" w:lineRule="auto"/>
        <w:ind w:firstLine="417" w:firstLineChars="198"/>
        <w:rPr>
          <w:rFonts w:ascii="宋体" w:hAnsi="宋体"/>
          <w:b/>
          <w:bCs/>
          <w:szCs w:val="21"/>
        </w:rPr>
      </w:pPr>
      <w:r>
        <w:rPr>
          <w:rFonts w:hint="eastAsia" w:ascii="宋体" w:hAnsi="宋体"/>
          <w:b/>
          <w:bCs/>
          <w:szCs w:val="21"/>
        </w:rPr>
        <w:t>七、课程设置及学时安排</w:t>
      </w:r>
    </w:p>
    <w:p>
      <w:pPr>
        <w:spacing w:line="360" w:lineRule="exact"/>
        <w:ind w:firstLine="420"/>
        <w:outlineLvl w:val="0"/>
        <w:rPr>
          <w:rFonts w:ascii="宋体" w:hAnsi="宋体" w:cs="宋体"/>
          <w:b/>
        </w:rPr>
      </w:pPr>
      <w:r>
        <w:rPr>
          <w:rFonts w:hint="eastAsia" w:ascii="宋体" w:hAnsi="宋体" w:cs="宋体"/>
          <w:b/>
        </w:rPr>
        <w:t>（一）课程设置</w:t>
      </w:r>
    </w:p>
    <w:p>
      <w:pPr>
        <w:spacing w:line="400" w:lineRule="exact"/>
        <w:ind w:firstLine="421"/>
        <w:rPr>
          <w:rFonts w:ascii="宋体" w:hAnsi="宋体"/>
          <w:bCs/>
          <w:szCs w:val="21"/>
        </w:rPr>
      </w:pPr>
      <w:r>
        <w:rPr>
          <w:rFonts w:hint="eastAsia" w:ascii="宋体" w:hAnsi="宋体"/>
          <w:bCs/>
          <w:szCs w:val="21"/>
        </w:rPr>
        <w:t>主要包括公共基础课程和专业课程。</w:t>
      </w:r>
    </w:p>
    <w:p>
      <w:pPr>
        <w:numPr>
          <w:ilvl w:val="0"/>
          <w:numId w:val="2"/>
        </w:numPr>
        <w:spacing w:line="400" w:lineRule="exact"/>
        <w:ind w:firstLine="421"/>
        <w:rPr>
          <w:rFonts w:ascii="宋体" w:hAnsi="宋体"/>
          <w:bCs/>
          <w:szCs w:val="21"/>
        </w:rPr>
      </w:pPr>
      <w:r>
        <w:rPr>
          <w:rFonts w:hint="eastAsia" w:ascii="宋体" w:hAnsi="宋体"/>
          <w:bCs/>
          <w:szCs w:val="21"/>
        </w:rPr>
        <w:t>公共基础课程一般包括思想政治理论课、军事课、大学英语、体育、心理健康、就业指导、创新创业、职业素质等方面的课程或专题讲座（活动）。</w:t>
      </w:r>
    </w:p>
    <w:p>
      <w:pPr>
        <w:numPr>
          <w:ilvl w:val="0"/>
          <w:numId w:val="2"/>
        </w:numPr>
        <w:spacing w:line="400" w:lineRule="exact"/>
        <w:ind w:firstLine="420"/>
        <w:rPr>
          <w:rFonts w:ascii="宋体" w:hAnsi="宋体"/>
          <w:bCs/>
          <w:szCs w:val="21"/>
        </w:rPr>
      </w:pPr>
      <w:r>
        <w:rPr>
          <w:rFonts w:hint="eastAsia" w:ascii="宋体" w:hAnsi="宋体"/>
          <w:bCs/>
          <w:szCs w:val="21"/>
        </w:rPr>
        <w:t>专业课一般包括专业基础课程、专业核心课程、专业拓展课程，并涵盖有关实践性教学环节。</w:t>
      </w:r>
    </w:p>
    <w:p>
      <w:pPr>
        <w:spacing w:line="400" w:lineRule="exact"/>
        <w:ind w:firstLine="420" w:firstLineChars="200"/>
        <w:rPr>
          <w:rFonts w:ascii="宋体" w:hAnsi="宋体"/>
          <w:bCs/>
          <w:szCs w:val="21"/>
        </w:rPr>
      </w:pPr>
      <w:r>
        <w:rPr>
          <w:rFonts w:hint="eastAsia" w:ascii="宋体" w:hAnsi="宋体"/>
          <w:bCs/>
          <w:szCs w:val="21"/>
        </w:rPr>
        <w:t>专业基础课程举例：Python、财务会计基础、管理学基础和经济学基础等。</w:t>
      </w:r>
    </w:p>
    <w:p>
      <w:pPr>
        <w:spacing w:line="360" w:lineRule="auto"/>
        <w:ind w:firstLine="420" w:firstLineChars="200"/>
        <w:rPr>
          <w:rFonts w:ascii="宋体" w:hAnsi="宋体"/>
          <w:bCs/>
          <w:szCs w:val="21"/>
        </w:rPr>
      </w:pPr>
      <w:r>
        <w:rPr>
          <w:rFonts w:hint="eastAsia" w:ascii="宋体" w:hAnsi="宋体"/>
          <w:bCs/>
          <w:szCs w:val="21"/>
        </w:rPr>
        <w:t>专业核心课程举例：企业财务会计、成本核算与管理、财务管理、财务分析、税务管理及筹划等。</w:t>
      </w:r>
    </w:p>
    <w:p>
      <w:pPr>
        <w:spacing w:line="400" w:lineRule="exact"/>
        <w:ind w:firstLine="420"/>
        <w:rPr>
          <w:rFonts w:ascii="宋体" w:hAnsi="宋体"/>
          <w:bCs/>
          <w:szCs w:val="21"/>
        </w:rPr>
      </w:pPr>
      <w:r>
        <w:rPr>
          <w:rFonts w:hint="eastAsia" w:ascii="宋体" w:hAnsi="宋体"/>
          <w:bCs/>
          <w:szCs w:val="21"/>
        </w:rPr>
        <w:t>专业拓展课举例：公司战略与风险管理和投资学等。</w:t>
      </w:r>
    </w:p>
    <w:p>
      <w:pPr>
        <w:numPr>
          <w:ilvl w:val="0"/>
          <w:numId w:val="2"/>
        </w:numPr>
        <w:spacing w:line="400" w:lineRule="exact"/>
        <w:ind w:firstLine="420"/>
        <w:rPr>
          <w:rFonts w:ascii="宋体" w:hAnsi="宋体"/>
          <w:bCs/>
          <w:szCs w:val="21"/>
        </w:rPr>
      </w:pPr>
      <w:r>
        <w:rPr>
          <w:rFonts w:hint="eastAsia" w:ascii="宋体" w:hAnsi="宋体"/>
          <w:bCs/>
          <w:szCs w:val="21"/>
        </w:rPr>
        <w:t>专业核心课程名称及主要教学内容</w:t>
      </w:r>
    </w:p>
    <w:tbl>
      <w:tblPr>
        <w:tblStyle w:val="6"/>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9"/>
        <w:gridCol w:w="2127"/>
        <w:gridCol w:w="6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tcPr>
          <w:p>
            <w:pPr>
              <w:spacing w:line="400" w:lineRule="exact"/>
              <w:jc w:val="center"/>
              <w:rPr>
                <w:rFonts w:ascii="宋体" w:hAnsi="宋体"/>
                <w:bCs/>
                <w:szCs w:val="21"/>
              </w:rPr>
            </w:pPr>
            <w:r>
              <w:rPr>
                <w:rFonts w:hint="eastAsia" w:ascii="宋体" w:hAnsi="宋体"/>
                <w:bCs/>
                <w:szCs w:val="21"/>
              </w:rPr>
              <w:t>序号</w:t>
            </w:r>
          </w:p>
        </w:tc>
        <w:tc>
          <w:tcPr>
            <w:tcW w:w="2127" w:type="dxa"/>
          </w:tcPr>
          <w:p>
            <w:pPr>
              <w:spacing w:line="400" w:lineRule="exact"/>
              <w:jc w:val="center"/>
              <w:rPr>
                <w:rFonts w:ascii="宋体" w:hAnsi="宋体"/>
                <w:bCs/>
                <w:szCs w:val="21"/>
              </w:rPr>
            </w:pPr>
            <w:r>
              <w:rPr>
                <w:rFonts w:hint="eastAsia" w:ascii="宋体" w:hAnsi="宋体"/>
                <w:bCs/>
                <w:szCs w:val="21"/>
              </w:rPr>
              <w:t>专业核心课名称</w:t>
            </w:r>
          </w:p>
        </w:tc>
        <w:tc>
          <w:tcPr>
            <w:tcW w:w="6538" w:type="dxa"/>
          </w:tcPr>
          <w:p>
            <w:pPr>
              <w:spacing w:line="400" w:lineRule="exact"/>
              <w:jc w:val="center"/>
              <w:rPr>
                <w:rFonts w:ascii="宋体" w:hAnsi="宋体"/>
                <w:bCs/>
                <w:szCs w:val="21"/>
              </w:rPr>
            </w:pPr>
            <w:r>
              <w:rPr>
                <w:rFonts w:hint="eastAsia" w:ascii="宋体" w:hAnsi="宋体"/>
                <w:bCs/>
                <w:szCs w:val="21"/>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1</w:t>
            </w:r>
          </w:p>
        </w:tc>
        <w:tc>
          <w:tcPr>
            <w:tcW w:w="2127" w:type="dxa"/>
            <w:vAlign w:val="center"/>
          </w:tcPr>
          <w:p>
            <w:pPr>
              <w:spacing w:line="400" w:lineRule="exact"/>
              <w:jc w:val="center"/>
              <w:rPr>
                <w:rFonts w:ascii="宋体" w:hAnsi="宋体"/>
                <w:bCs/>
                <w:sz w:val="18"/>
                <w:szCs w:val="18"/>
              </w:rPr>
            </w:pPr>
            <w:r>
              <w:rPr>
                <w:rFonts w:hint="eastAsia" w:ascii="宋体" w:hAnsi="宋体"/>
                <w:bCs/>
                <w:sz w:val="18"/>
                <w:szCs w:val="18"/>
              </w:rPr>
              <w:t>企业财务会计</w:t>
            </w:r>
          </w:p>
        </w:tc>
        <w:tc>
          <w:tcPr>
            <w:tcW w:w="6538" w:type="dxa"/>
          </w:tcPr>
          <w:p>
            <w:pPr>
              <w:spacing w:line="360" w:lineRule="exact"/>
              <w:rPr>
                <w:rFonts w:ascii="宋体" w:hAnsi="宋体"/>
                <w:bCs/>
                <w:sz w:val="18"/>
                <w:szCs w:val="18"/>
              </w:rPr>
            </w:pPr>
            <w:r>
              <w:rPr>
                <w:rFonts w:hint="eastAsia" w:ascii="宋体" w:hAnsi="宋体"/>
                <w:bCs/>
                <w:sz w:val="18"/>
                <w:szCs w:val="18"/>
              </w:rPr>
              <w:t>①货币资金业务、应收款项业务、存货业务、在建工程及固定资产业务、投资业务、无形资产及其他资产业务的规定及核算方法；②流动负债业务、非流动负债业务、收入和费用业务、利润业务的规定以及核算方法；③财务会计报告编制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2</w:t>
            </w:r>
          </w:p>
        </w:tc>
        <w:tc>
          <w:tcPr>
            <w:tcW w:w="2127" w:type="dxa"/>
            <w:vAlign w:val="center"/>
          </w:tcPr>
          <w:p>
            <w:pPr>
              <w:spacing w:line="400" w:lineRule="exact"/>
              <w:jc w:val="center"/>
              <w:rPr>
                <w:rFonts w:ascii="宋体" w:hAnsi="宋体"/>
                <w:bCs/>
                <w:sz w:val="18"/>
                <w:szCs w:val="18"/>
              </w:rPr>
            </w:pPr>
            <w:r>
              <w:rPr>
                <w:rFonts w:hint="eastAsia" w:ascii="宋体" w:hAnsi="宋体"/>
                <w:bCs/>
                <w:sz w:val="18"/>
                <w:szCs w:val="18"/>
              </w:rPr>
              <w:t>成本核算与管理</w:t>
            </w:r>
          </w:p>
        </w:tc>
        <w:tc>
          <w:tcPr>
            <w:tcW w:w="6538" w:type="dxa"/>
          </w:tcPr>
          <w:p>
            <w:pPr>
              <w:spacing w:line="360" w:lineRule="exact"/>
              <w:rPr>
                <w:rFonts w:ascii="宋体" w:hAnsi="宋体"/>
                <w:bCs/>
                <w:sz w:val="18"/>
                <w:szCs w:val="18"/>
              </w:rPr>
            </w:pPr>
            <w:r>
              <w:rPr>
                <w:rFonts w:hint="eastAsia" w:ascii="宋体" w:hAnsi="宋体"/>
                <w:bCs/>
                <w:sz w:val="18"/>
                <w:szCs w:val="18"/>
              </w:rPr>
              <w:t>①企业成本核算的基本原理；②产品成本计算、成本预测、成本控制、成本分析、成本效益评价的基本方法；③标准成本管理、作业成本管理等现代成本管理方法的应用。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3</w:t>
            </w:r>
          </w:p>
        </w:tc>
        <w:tc>
          <w:tcPr>
            <w:tcW w:w="2127" w:type="dxa"/>
            <w:vAlign w:val="center"/>
          </w:tcPr>
          <w:p>
            <w:pPr>
              <w:jc w:val="center"/>
              <w:rPr>
                <w:rFonts w:ascii="宋体" w:hAnsi="宋体"/>
                <w:bCs/>
                <w:sz w:val="18"/>
                <w:szCs w:val="18"/>
              </w:rPr>
            </w:pPr>
            <w:r>
              <w:rPr>
                <w:rFonts w:hint="eastAsia" w:ascii="宋体" w:hAnsi="宋体"/>
                <w:bCs/>
                <w:sz w:val="18"/>
                <w:szCs w:val="18"/>
              </w:rPr>
              <w:t>财务管理</w:t>
            </w:r>
          </w:p>
        </w:tc>
        <w:tc>
          <w:tcPr>
            <w:tcW w:w="6538" w:type="dxa"/>
          </w:tcPr>
          <w:p>
            <w:pPr>
              <w:spacing w:line="360" w:lineRule="exact"/>
              <w:rPr>
                <w:rFonts w:ascii="宋体" w:hAnsi="宋体"/>
                <w:sz w:val="18"/>
                <w:szCs w:val="18"/>
              </w:rPr>
            </w:pPr>
            <w:r>
              <w:rPr>
                <w:rFonts w:hint="eastAsia" w:ascii="宋体" w:hAnsi="宋体"/>
                <w:sz w:val="18"/>
                <w:szCs w:val="18"/>
              </w:rPr>
              <w:t>①项目投资决策程序；②项目投资现金流量的估算；③项目投资决策评价方法；④证券投资的种类，各种有价证券的投资决策方法；⑤企业资金需要量预测；⑥负债资金筹集，权益资金筹集；⑦资金成本及资本结构决策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4</w:t>
            </w:r>
          </w:p>
        </w:tc>
        <w:tc>
          <w:tcPr>
            <w:tcW w:w="2127" w:type="dxa"/>
            <w:vAlign w:val="center"/>
          </w:tcPr>
          <w:p>
            <w:pPr>
              <w:spacing w:line="400" w:lineRule="exact"/>
              <w:jc w:val="center"/>
              <w:rPr>
                <w:rFonts w:ascii="宋体" w:hAnsi="宋体"/>
                <w:bCs/>
                <w:sz w:val="18"/>
                <w:szCs w:val="18"/>
              </w:rPr>
            </w:pPr>
            <w:r>
              <w:rPr>
                <w:rFonts w:hint="eastAsia" w:ascii="宋体" w:hAnsi="宋体"/>
                <w:bCs/>
                <w:sz w:val="18"/>
                <w:szCs w:val="18"/>
              </w:rPr>
              <w:t>税务管理及筹划</w:t>
            </w:r>
          </w:p>
        </w:tc>
        <w:tc>
          <w:tcPr>
            <w:tcW w:w="6538" w:type="dxa"/>
          </w:tcPr>
          <w:p>
            <w:pPr>
              <w:spacing w:line="360" w:lineRule="exact"/>
              <w:rPr>
                <w:rFonts w:ascii="宋体" w:hAnsi="宋体"/>
                <w:bCs/>
                <w:sz w:val="18"/>
                <w:szCs w:val="18"/>
              </w:rPr>
            </w:pPr>
            <w:r>
              <w:rPr>
                <w:rFonts w:hint="eastAsia" w:ascii="宋体" w:hAnsi="宋体"/>
                <w:bCs/>
                <w:sz w:val="18"/>
                <w:szCs w:val="18"/>
              </w:rPr>
              <w:t>①增值税、消费税、企业所得税、个人所得税、关税、资源税、城市维护建设税、房产税、印花税及其他税种的征收基本规定；②应纳税额的计算方法；③纳税申报流程与方法；④税收筹划方法。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5</w:t>
            </w:r>
          </w:p>
        </w:tc>
        <w:tc>
          <w:tcPr>
            <w:tcW w:w="2127" w:type="dxa"/>
            <w:vAlign w:val="center"/>
          </w:tcPr>
          <w:p>
            <w:pPr>
              <w:spacing w:line="400" w:lineRule="exact"/>
              <w:jc w:val="center"/>
              <w:rPr>
                <w:rFonts w:ascii="宋体" w:hAnsi="宋体"/>
                <w:bCs/>
                <w:sz w:val="18"/>
                <w:szCs w:val="18"/>
              </w:rPr>
            </w:pPr>
            <w:r>
              <w:rPr>
                <w:rFonts w:hint="eastAsia" w:ascii="宋体" w:hAnsi="宋体"/>
                <w:bCs/>
                <w:sz w:val="18"/>
                <w:szCs w:val="18"/>
              </w:rPr>
              <w:t>企业财务分析</w:t>
            </w:r>
          </w:p>
        </w:tc>
        <w:tc>
          <w:tcPr>
            <w:tcW w:w="6538" w:type="dxa"/>
          </w:tcPr>
          <w:p>
            <w:pPr>
              <w:spacing w:line="360" w:lineRule="exact"/>
              <w:rPr>
                <w:rFonts w:ascii="宋体" w:hAnsi="宋体"/>
                <w:bCs/>
                <w:sz w:val="18"/>
                <w:szCs w:val="18"/>
              </w:rPr>
            </w:pPr>
            <w:r>
              <w:rPr>
                <w:rFonts w:hint="eastAsia" w:ascii="宋体" w:hAnsi="宋体"/>
                <w:bCs/>
                <w:sz w:val="18"/>
                <w:szCs w:val="18"/>
              </w:rPr>
              <w:t>①财务报表分析方法；②偿债能力分析，盈利能力分析，营运能力分析，发展能力分析；③上市公司财务指标分析；④内部业绩评价；⑤企业业绩评价。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6</w:t>
            </w:r>
          </w:p>
        </w:tc>
        <w:tc>
          <w:tcPr>
            <w:tcW w:w="2127" w:type="dxa"/>
            <w:vAlign w:val="center"/>
          </w:tcPr>
          <w:p>
            <w:pPr>
              <w:spacing w:line="400" w:lineRule="exact"/>
              <w:jc w:val="center"/>
              <w:rPr>
                <w:rFonts w:ascii="宋体" w:hAnsi="宋体"/>
                <w:bCs/>
                <w:sz w:val="18"/>
                <w:szCs w:val="18"/>
              </w:rPr>
            </w:pPr>
            <w:r>
              <w:rPr>
                <w:rFonts w:ascii="宋体" w:hAnsi="宋体"/>
                <w:bCs/>
                <w:sz w:val="18"/>
                <w:szCs w:val="18"/>
              </w:rPr>
              <w:t>经济法基础</w:t>
            </w:r>
          </w:p>
        </w:tc>
        <w:tc>
          <w:tcPr>
            <w:tcW w:w="6538" w:type="dxa"/>
          </w:tcPr>
          <w:p>
            <w:pPr>
              <w:spacing w:line="360" w:lineRule="exact"/>
              <w:rPr>
                <w:rFonts w:ascii="宋体" w:hAnsi="宋体"/>
                <w:bCs/>
                <w:sz w:val="18"/>
                <w:szCs w:val="18"/>
              </w:rPr>
            </w:pPr>
            <w:r>
              <w:rPr>
                <w:rFonts w:hint="eastAsia" w:ascii="宋体" w:hAnsi="宋体"/>
                <w:bCs/>
                <w:sz w:val="18"/>
                <w:szCs w:val="18"/>
              </w:rPr>
              <w:t>①法律概论；②经济纠纷解决法律制度；③会计法律制度；④票据与支付结算法律制度；⑤劳动合同与社会保险法律制度；⑥增值税、消费税、所得税、其他税种法律制度；⑦税收征收管理法律制度。</w:t>
            </w:r>
          </w:p>
        </w:tc>
      </w:tr>
    </w:tbl>
    <w:p>
      <w:pPr>
        <w:spacing w:line="400" w:lineRule="exact"/>
        <w:rPr>
          <w:rFonts w:ascii="宋体" w:hAnsi="宋体"/>
          <w:b/>
        </w:rPr>
      </w:pPr>
    </w:p>
    <w:p>
      <w:pPr>
        <w:spacing w:line="360" w:lineRule="exact"/>
        <w:ind w:firstLine="420"/>
        <w:outlineLvl w:val="0"/>
        <w:rPr>
          <w:rFonts w:ascii="宋体" w:hAnsi="宋体"/>
          <w:bCs/>
        </w:rPr>
      </w:pPr>
      <w:r>
        <w:rPr>
          <w:rFonts w:hint="eastAsia" w:ascii="宋体" w:hAnsi="宋体"/>
          <w:bCs/>
        </w:rPr>
        <w:t>实践性教学环节主要包括顶岗实习、软件开发项目实训、社会实践、毕业项目综合实训、创新创业实践等。</w:t>
      </w:r>
    </w:p>
    <w:p>
      <w:pPr>
        <w:spacing w:line="360" w:lineRule="auto"/>
        <w:ind w:firstLine="417" w:firstLineChars="198"/>
        <w:rPr>
          <w:rFonts w:ascii="宋体" w:hAnsi="宋体"/>
          <w:b/>
          <w:szCs w:val="21"/>
        </w:rPr>
      </w:pPr>
      <w:r>
        <w:rPr>
          <w:rFonts w:hint="eastAsia" w:ascii="宋体" w:hAnsi="宋体"/>
          <w:b/>
          <w:szCs w:val="21"/>
        </w:rPr>
        <w:t xml:space="preserve"> (二) 学时安排</w:t>
      </w:r>
    </w:p>
    <w:p>
      <w:pPr>
        <w:spacing w:line="400" w:lineRule="exact"/>
        <w:ind w:firstLine="420"/>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本专业总学时为</w:t>
      </w:r>
      <w:r>
        <w:rPr>
          <w:rFonts w:ascii="宋体" w:hAnsi="宋体"/>
          <w:bCs/>
          <w:color w:val="000000" w:themeColor="text1"/>
          <w14:textFill>
            <w14:solidFill>
              <w14:schemeClr w14:val="tx1"/>
            </w14:solidFill>
          </w14:textFill>
        </w:rPr>
        <w:t>2640</w:t>
      </w:r>
      <w:r>
        <w:rPr>
          <w:rFonts w:hint="eastAsia" w:ascii="宋体" w:hAnsi="宋体"/>
          <w:bCs/>
          <w:color w:val="000000" w:themeColor="text1"/>
          <w14:textFill>
            <w14:solidFill>
              <w14:schemeClr w14:val="tx1"/>
            </w14:solidFill>
          </w14:textFill>
        </w:rPr>
        <w:t>学时，其中实践性教学学时为</w:t>
      </w:r>
      <w:r>
        <w:rPr>
          <w:rFonts w:ascii="宋体" w:hAnsi="宋体"/>
          <w:bCs/>
          <w:color w:val="000000" w:themeColor="text1"/>
          <w14:textFill>
            <w14:solidFill>
              <w14:schemeClr w14:val="tx1"/>
            </w14:solidFill>
          </w14:textFill>
        </w:rPr>
        <w:t>1349</w:t>
      </w:r>
      <w:r>
        <w:rPr>
          <w:rFonts w:hint="eastAsia" w:ascii="宋体" w:hAnsi="宋体"/>
          <w:bCs/>
          <w:color w:val="000000" w:themeColor="text1"/>
          <w14:textFill>
            <w14:solidFill>
              <w14:schemeClr w14:val="tx1"/>
            </w14:solidFill>
          </w14:textFill>
        </w:rPr>
        <w:t>学时，占总学时的</w:t>
      </w:r>
      <w:r>
        <w:rPr>
          <w:rFonts w:ascii="宋体" w:hAnsi="宋体"/>
          <w:bCs/>
          <w:color w:val="000000" w:themeColor="text1"/>
          <w14:textFill>
            <w14:solidFill>
              <w14:schemeClr w14:val="tx1"/>
            </w14:solidFill>
          </w14:textFill>
        </w:rPr>
        <w:t>51.10</w:t>
      </w:r>
      <w:r>
        <w:rPr>
          <w:rFonts w:hint="eastAsia" w:ascii="宋体" w:hAnsi="宋体"/>
          <w:bCs/>
          <w:color w:val="000000" w:themeColor="text1"/>
          <w14:textFill>
            <w14:solidFill>
              <w14:schemeClr w14:val="tx1"/>
            </w14:solidFill>
          </w14:textFill>
        </w:rPr>
        <w:t>%。其中，顶岗实习为6个月，约</w:t>
      </w:r>
      <w:r>
        <w:rPr>
          <w:rFonts w:ascii="宋体" w:hAnsi="宋体"/>
          <w:bCs/>
          <w:color w:val="000000" w:themeColor="text1"/>
          <w14:textFill>
            <w14:solidFill>
              <w14:schemeClr w14:val="tx1"/>
            </w14:solidFill>
          </w14:textFill>
        </w:rPr>
        <w:t>252</w:t>
      </w:r>
      <w:r>
        <w:rPr>
          <w:rFonts w:hint="eastAsia" w:ascii="宋体" w:hAnsi="宋体"/>
          <w:bCs/>
          <w:color w:val="000000" w:themeColor="text1"/>
          <w14:textFill>
            <w14:solidFill>
              <w14:schemeClr w14:val="tx1"/>
            </w14:solidFill>
          </w14:textFill>
        </w:rPr>
        <w:t>学时。</w:t>
      </w:r>
    </w:p>
    <w:p>
      <w:pPr>
        <w:adjustRightInd w:val="0"/>
        <w:snapToGrid w:val="0"/>
        <w:spacing w:line="360" w:lineRule="auto"/>
        <w:jc w:val="center"/>
        <w:rPr>
          <w:rFonts w:ascii="宋体" w:hAnsi="宋体"/>
          <w:b/>
          <w:bCs/>
          <w:szCs w:val="21"/>
        </w:rPr>
      </w:pPr>
      <w:r>
        <w:drawing>
          <wp:inline distT="0" distB="0" distL="0" distR="0">
            <wp:extent cx="5494655" cy="2926080"/>
            <wp:effectExtent l="0" t="0" r="0" b="762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5494655" cy="2926080"/>
                    </a:xfrm>
                    <a:prstGeom prst="rect">
                      <a:avLst/>
                    </a:prstGeom>
                    <a:noFill/>
                    <a:ln>
                      <a:noFill/>
                    </a:ln>
                  </pic:spPr>
                </pic:pic>
              </a:graphicData>
            </a:graphic>
          </wp:inline>
        </w:drawing>
      </w:r>
    </w:p>
    <w:p>
      <w:pPr>
        <w:adjustRightInd w:val="0"/>
        <w:snapToGrid w:val="0"/>
        <w:spacing w:line="360" w:lineRule="auto"/>
        <w:ind w:firstLine="527" w:firstLineChars="250"/>
        <w:rPr>
          <w:rFonts w:ascii="宋体" w:hAnsi="宋体"/>
          <w:b/>
          <w:bCs/>
          <w:szCs w:val="21"/>
        </w:rPr>
      </w:pPr>
      <w:r>
        <w:rPr>
          <w:rFonts w:hint="eastAsia" w:ascii="宋体" w:hAnsi="宋体"/>
          <w:b/>
          <w:bCs/>
          <w:szCs w:val="21"/>
        </w:rPr>
        <w:t>十、教学基本条件</w:t>
      </w:r>
    </w:p>
    <w:p>
      <w:pPr>
        <w:spacing w:line="360" w:lineRule="auto"/>
        <w:ind w:firstLine="422" w:firstLineChars="200"/>
        <w:outlineLvl w:val="0"/>
        <w:rPr>
          <w:rStyle w:val="8"/>
          <w:rFonts w:ascii="宋体" w:hAnsi="宋体"/>
          <w:szCs w:val="21"/>
        </w:rPr>
      </w:pPr>
      <w:r>
        <w:rPr>
          <w:rStyle w:val="8"/>
          <w:rFonts w:hint="eastAsia" w:ascii="宋体" w:hAnsi="宋体"/>
          <w:szCs w:val="21"/>
        </w:rPr>
        <w:t>（一）教师队伍</w:t>
      </w:r>
    </w:p>
    <w:p>
      <w:pPr>
        <w:spacing w:line="400" w:lineRule="exact"/>
        <w:ind w:firstLine="420"/>
        <w:rPr>
          <w:rFonts w:ascii="宋体" w:hAnsi="宋体"/>
          <w:szCs w:val="21"/>
        </w:rPr>
      </w:pPr>
      <w:r>
        <w:rPr>
          <w:rFonts w:hint="eastAsia" w:ascii="宋体" w:hAnsi="宋体"/>
          <w:szCs w:val="21"/>
        </w:rPr>
        <w:t>1.专任教师</w:t>
      </w:r>
    </w:p>
    <w:p>
      <w:pPr>
        <w:spacing w:line="400" w:lineRule="exact"/>
        <w:ind w:firstLine="420"/>
        <w:jc w:val="center"/>
        <w:rPr>
          <w:rFonts w:ascii="宋体" w:hAnsi="宋体"/>
          <w:szCs w:val="21"/>
        </w:rPr>
      </w:pPr>
      <w:r>
        <w:rPr>
          <w:rFonts w:hint="eastAsia" w:ascii="宋体" w:hAnsi="宋体"/>
          <w:szCs w:val="21"/>
        </w:rPr>
        <w:t>专任教师一览表</w:t>
      </w:r>
    </w:p>
    <w:tbl>
      <w:tblPr>
        <w:tblStyle w:val="6"/>
        <w:tblW w:w="89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873"/>
        <w:gridCol w:w="545"/>
        <w:gridCol w:w="992"/>
        <w:gridCol w:w="1282"/>
        <w:gridCol w:w="1091"/>
        <w:gridCol w:w="144"/>
        <w:gridCol w:w="1032"/>
        <w:gridCol w:w="672"/>
        <w:gridCol w:w="419"/>
        <w:gridCol w:w="1175"/>
        <w:gridCol w:w="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序号</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姓名</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职称、职务</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学历学位</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是否双师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w:t>
            </w:r>
          </w:p>
        </w:tc>
        <w:tc>
          <w:tcPr>
            <w:tcW w:w="141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rPr>
                <w:rFonts w:ascii="宋体" w:hAnsi="宋体" w:cs="宋体"/>
                <w:szCs w:val="21"/>
              </w:rPr>
            </w:pPr>
            <w:r>
              <w:rPr>
                <w:rFonts w:hint="eastAsia"/>
                <w:color w:val="000000"/>
                <w:szCs w:val="21"/>
              </w:rPr>
              <w:t>谢宝清</w:t>
            </w:r>
          </w:p>
        </w:tc>
        <w:tc>
          <w:tcPr>
            <w:tcW w:w="3509"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rPr>
                <w:rFonts w:ascii="宋体" w:hAnsi="宋体" w:cs="宋体"/>
                <w:szCs w:val="21"/>
              </w:rPr>
            </w:pPr>
            <w:r>
              <w:rPr>
                <w:rFonts w:hint="eastAsia"/>
              </w:rPr>
              <w:t>讲师（高校）</w:t>
            </w:r>
          </w:p>
        </w:tc>
        <w:tc>
          <w:tcPr>
            <w:tcW w:w="170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rPr>
                <w:rFonts w:cs="宋体" w:asciiTheme="minorEastAsia" w:hAnsiTheme="minorEastAsia" w:eastAsiaTheme="minorEastAsia"/>
                <w:szCs w:val="21"/>
              </w:rPr>
            </w:pPr>
            <w:r>
              <w:rPr>
                <w:rFonts w:hint="eastAsia" w:asciiTheme="minorEastAsia" w:hAnsiTheme="minorEastAsia" w:eastAsiaTheme="minorEastAsia"/>
                <w:color w:val="000000"/>
              </w:rPr>
              <w:t>大学本科</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2</w:t>
            </w:r>
          </w:p>
        </w:tc>
        <w:tc>
          <w:tcPr>
            <w:tcW w:w="1418" w:type="dxa"/>
            <w:gridSpan w:val="2"/>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ascii="宋体" w:hAnsi="宋体" w:cs="宋体"/>
                <w:szCs w:val="21"/>
              </w:rPr>
            </w:pPr>
            <w:r>
              <w:rPr>
                <w:rFonts w:hint="eastAsia"/>
                <w:color w:val="000000"/>
                <w:szCs w:val="21"/>
              </w:rPr>
              <w:t>杨洁</w:t>
            </w:r>
          </w:p>
        </w:tc>
        <w:tc>
          <w:tcPr>
            <w:tcW w:w="3509" w:type="dxa"/>
            <w:gridSpan w:val="4"/>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ascii="宋体" w:hAnsi="宋体" w:cs="宋体"/>
                <w:szCs w:val="21"/>
              </w:rPr>
            </w:pPr>
            <w:r>
              <w:rPr>
                <w:rFonts w:hint="eastAsia"/>
              </w:rPr>
              <w:t>讲师（高校）</w:t>
            </w:r>
          </w:p>
        </w:tc>
        <w:tc>
          <w:tcPr>
            <w:tcW w:w="1704" w:type="dxa"/>
            <w:gridSpan w:val="2"/>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cs="宋体" w:asciiTheme="minorEastAsia" w:hAnsiTheme="minorEastAsia" w:eastAsiaTheme="minorEastAsia"/>
                <w:szCs w:val="21"/>
              </w:rPr>
            </w:pPr>
            <w:r>
              <w:rPr>
                <w:rFonts w:hint="eastAsia" w:asciiTheme="minorEastAsia" w:hAnsiTheme="minorEastAsia" w:eastAsiaTheme="minorEastAsia"/>
              </w:rPr>
              <w:t>硕士研究生</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3</w:t>
            </w:r>
          </w:p>
        </w:tc>
        <w:tc>
          <w:tcPr>
            <w:tcW w:w="1418" w:type="dxa"/>
            <w:gridSpan w:val="2"/>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ascii="宋体" w:hAnsi="宋体" w:cs="宋体"/>
                <w:szCs w:val="21"/>
              </w:rPr>
            </w:pPr>
            <w:r>
              <w:rPr>
                <w:rFonts w:hint="eastAsia"/>
                <w:color w:val="000000"/>
                <w:szCs w:val="21"/>
              </w:rPr>
              <w:t>梁婉蕾</w:t>
            </w:r>
          </w:p>
        </w:tc>
        <w:tc>
          <w:tcPr>
            <w:tcW w:w="3509" w:type="dxa"/>
            <w:gridSpan w:val="4"/>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ascii="宋体" w:hAnsi="宋体" w:cs="宋体"/>
                <w:szCs w:val="21"/>
              </w:rPr>
            </w:pPr>
            <w:r>
              <w:rPr>
                <w:rFonts w:hint="eastAsia"/>
              </w:rPr>
              <w:t>讲师（高校）</w:t>
            </w:r>
          </w:p>
        </w:tc>
        <w:tc>
          <w:tcPr>
            <w:tcW w:w="1704" w:type="dxa"/>
            <w:gridSpan w:val="2"/>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cs="宋体" w:asciiTheme="minorEastAsia" w:hAnsiTheme="minorEastAsia" w:eastAsiaTheme="minorEastAsia"/>
                <w:szCs w:val="21"/>
              </w:rPr>
            </w:pPr>
            <w:r>
              <w:rPr>
                <w:rFonts w:hint="eastAsia" w:asciiTheme="minorEastAsia" w:hAnsiTheme="minorEastAsia" w:eastAsiaTheme="minorEastAsia"/>
                <w:color w:val="000000"/>
              </w:rPr>
              <w:t>本科</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bookmarkStart w:id="2" w:name="_Hlk117191869"/>
            <w:r>
              <w:rPr>
                <w:rFonts w:ascii="宋体" w:hAnsi="宋体" w:cs="宋体"/>
                <w:szCs w:val="21"/>
              </w:rPr>
              <w:t>4</w:t>
            </w:r>
          </w:p>
        </w:tc>
        <w:tc>
          <w:tcPr>
            <w:tcW w:w="1418" w:type="dxa"/>
            <w:gridSpan w:val="2"/>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ascii="宋体" w:hAnsi="宋体" w:cs="宋体"/>
                <w:szCs w:val="21"/>
              </w:rPr>
            </w:pPr>
            <w:r>
              <w:rPr>
                <w:rFonts w:hint="eastAsia"/>
                <w:color w:val="000000"/>
                <w:szCs w:val="21"/>
              </w:rPr>
              <w:t>王果</w:t>
            </w:r>
          </w:p>
        </w:tc>
        <w:tc>
          <w:tcPr>
            <w:tcW w:w="3509" w:type="dxa"/>
            <w:gridSpan w:val="4"/>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ascii="宋体" w:hAnsi="宋体" w:cs="宋体"/>
                <w:szCs w:val="21"/>
              </w:rPr>
            </w:pPr>
            <w:r>
              <w:rPr>
                <w:rFonts w:hint="eastAsia"/>
              </w:rPr>
              <w:t>助教（高校）</w:t>
            </w:r>
          </w:p>
        </w:tc>
        <w:tc>
          <w:tcPr>
            <w:tcW w:w="1704" w:type="dxa"/>
            <w:gridSpan w:val="2"/>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cs="宋体" w:asciiTheme="minorEastAsia" w:hAnsiTheme="minorEastAsia" w:eastAsiaTheme="minorEastAsia"/>
                <w:szCs w:val="21"/>
              </w:rPr>
            </w:pPr>
            <w:r>
              <w:rPr>
                <w:rFonts w:hint="eastAsia" w:asciiTheme="minorEastAsia" w:hAnsiTheme="minorEastAsia" w:eastAsiaTheme="minorEastAsia"/>
                <w:color w:val="000000"/>
              </w:rPr>
              <w:t>硕士研究生</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bookmarkEnd w:id="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5</w:t>
            </w:r>
          </w:p>
        </w:tc>
        <w:tc>
          <w:tcPr>
            <w:tcW w:w="1418" w:type="dxa"/>
            <w:gridSpan w:val="2"/>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ascii="宋体" w:hAnsi="宋体" w:cs="宋体"/>
                <w:szCs w:val="21"/>
              </w:rPr>
            </w:pPr>
            <w:r>
              <w:rPr>
                <w:rFonts w:hint="eastAsia"/>
                <w:color w:val="000000"/>
                <w:szCs w:val="21"/>
              </w:rPr>
              <w:t>陈春廷</w:t>
            </w:r>
          </w:p>
        </w:tc>
        <w:tc>
          <w:tcPr>
            <w:tcW w:w="3509" w:type="dxa"/>
            <w:gridSpan w:val="4"/>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ascii="宋体" w:hAnsi="宋体" w:cs="宋体"/>
                <w:szCs w:val="21"/>
              </w:rPr>
            </w:pPr>
            <w:r>
              <w:rPr>
                <w:rFonts w:hint="eastAsia"/>
              </w:rPr>
              <w:t>助教（高校）</w:t>
            </w:r>
          </w:p>
        </w:tc>
        <w:tc>
          <w:tcPr>
            <w:tcW w:w="1704" w:type="dxa"/>
            <w:gridSpan w:val="2"/>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cs="宋体" w:asciiTheme="minorEastAsia" w:hAnsiTheme="minorEastAsia" w:eastAsiaTheme="minorEastAsia"/>
                <w:szCs w:val="21"/>
              </w:rPr>
            </w:pPr>
            <w:r>
              <w:rPr>
                <w:rFonts w:hint="eastAsia" w:asciiTheme="minorEastAsia" w:hAnsiTheme="minorEastAsia" w:eastAsiaTheme="minorEastAsia"/>
                <w:color w:val="000000"/>
              </w:rPr>
              <w:t>硕士研究生</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jc w:val="center"/>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6</w:t>
            </w:r>
          </w:p>
        </w:tc>
        <w:tc>
          <w:tcPr>
            <w:tcW w:w="1418" w:type="dxa"/>
            <w:gridSpan w:val="2"/>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ascii="宋体" w:hAnsi="宋体" w:cs="宋体"/>
                <w:szCs w:val="21"/>
              </w:rPr>
            </w:pPr>
            <w:r>
              <w:rPr>
                <w:rFonts w:hint="eastAsia"/>
                <w:color w:val="000000"/>
                <w:szCs w:val="21"/>
              </w:rPr>
              <w:t>柏超越</w:t>
            </w:r>
          </w:p>
        </w:tc>
        <w:tc>
          <w:tcPr>
            <w:tcW w:w="3509" w:type="dxa"/>
            <w:gridSpan w:val="4"/>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ascii="宋体" w:hAnsi="宋体" w:cs="宋体"/>
                <w:szCs w:val="21"/>
              </w:rPr>
            </w:pPr>
            <w:r>
              <w:rPr>
                <w:rFonts w:hint="eastAsia"/>
              </w:rPr>
              <w:t>高等学校教师</w:t>
            </w:r>
          </w:p>
        </w:tc>
        <w:tc>
          <w:tcPr>
            <w:tcW w:w="1704" w:type="dxa"/>
            <w:gridSpan w:val="2"/>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cs="宋体" w:asciiTheme="minorEastAsia" w:hAnsiTheme="minorEastAsia" w:eastAsiaTheme="minorEastAsia"/>
                <w:szCs w:val="21"/>
              </w:rPr>
            </w:pPr>
            <w:r>
              <w:rPr>
                <w:rFonts w:hint="eastAsia" w:asciiTheme="minorEastAsia" w:hAnsiTheme="minorEastAsia" w:eastAsiaTheme="minorEastAsia"/>
                <w:color w:val="000000"/>
              </w:rPr>
              <w:t>本科</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jc w:val="center"/>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7</w:t>
            </w:r>
          </w:p>
        </w:tc>
        <w:tc>
          <w:tcPr>
            <w:tcW w:w="1418" w:type="dxa"/>
            <w:gridSpan w:val="2"/>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ascii="宋体" w:hAnsi="宋体" w:cs="宋体"/>
                <w:szCs w:val="21"/>
              </w:rPr>
            </w:pPr>
            <w:r>
              <w:rPr>
                <w:rFonts w:hint="eastAsia"/>
                <w:color w:val="000000"/>
                <w:szCs w:val="21"/>
              </w:rPr>
              <w:t>庞铭琦</w:t>
            </w:r>
          </w:p>
        </w:tc>
        <w:tc>
          <w:tcPr>
            <w:tcW w:w="3509" w:type="dxa"/>
            <w:gridSpan w:val="4"/>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ascii="宋体" w:hAnsi="宋体" w:cs="宋体"/>
                <w:szCs w:val="21"/>
              </w:rPr>
            </w:pPr>
            <w:r>
              <w:rPr>
                <w:rFonts w:hint="eastAsia"/>
              </w:rPr>
              <w:t>讲师（高校）</w:t>
            </w:r>
          </w:p>
        </w:tc>
        <w:tc>
          <w:tcPr>
            <w:tcW w:w="1704" w:type="dxa"/>
            <w:gridSpan w:val="2"/>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cs="宋体" w:asciiTheme="minorEastAsia" w:hAnsiTheme="minorEastAsia" w:eastAsiaTheme="minorEastAsia"/>
                <w:szCs w:val="21"/>
              </w:rPr>
            </w:pPr>
            <w:r>
              <w:rPr>
                <w:rFonts w:hint="eastAsia" w:asciiTheme="minorEastAsia" w:hAnsiTheme="minorEastAsia" w:eastAsiaTheme="minorEastAsia"/>
                <w:color w:val="000000"/>
              </w:rPr>
              <w:t>本科</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jc w:val="center"/>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8</w:t>
            </w:r>
          </w:p>
        </w:tc>
        <w:tc>
          <w:tcPr>
            <w:tcW w:w="1418" w:type="dxa"/>
            <w:gridSpan w:val="2"/>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ascii="宋体" w:hAnsi="宋体" w:cs="宋体"/>
                <w:szCs w:val="21"/>
              </w:rPr>
            </w:pPr>
            <w:r>
              <w:rPr>
                <w:rFonts w:hint="eastAsia"/>
                <w:color w:val="000000"/>
                <w:szCs w:val="21"/>
              </w:rPr>
              <w:t>董雪杰</w:t>
            </w:r>
          </w:p>
        </w:tc>
        <w:tc>
          <w:tcPr>
            <w:tcW w:w="3509" w:type="dxa"/>
            <w:gridSpan w:val="4"/>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ascii="宋体" w:hAnsi="宋体" w:cs="宋体"/>
                <w:szCs w:val="21"/>
              </w:rPr>
            </w:pPr>
            <w:r>
              <w:rPr>
                <w:rFonts w:hint="eastAsia"/>
              </w:rPr>
              <w:t>助教（高校）</w:t>
            </w:r>
          </w:p>
        </w:tc>
        <w:tc>
          <w:tcPr>
            <w:tcW w:w="1704" w:type="dxa"/>
            <w:gridSpan w:val="2"/>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cs="宋体" w:asciiTheme="minorEastAsia" w:hAnsiTheme="minorEastAsia" w:eastAsiaTheme="minorEastAsia"/>
                <w:szCs w:val="21"/>
              </w:rPr>
            </w:pPr>
            <w:r>
              <w:rPr>
                <w:rFonts w:hint="eastAsia" w:asciiTheme="minorEastAsia" w:hAnsiTheme="minorEastAsia" w:eastAsiaTheme="minorEastAsia"/>
                <w:color w:val="000000"/>
              </w:rPr>
              <w:t>硕士研究生</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9</w:t>
            </w:r>
          </w:p>
        </w:tc>
        <w:tc>
          <w:tcPr>
            <w:tcW w:w="1418" w:type="dxa"/>
            <w:gridSpan w:val="2"/>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ascii="宋体" w:hAnsi="宋体" w:cs="宋体"/>
                <w:szCs w:val="21"/>
              </w:rPr>
            </w:pPr>
            <w:r>
              <w:rPr>
                <w:rFonts w:hint="eastAsia"/>
                <w:color w:val="000000"/>
                <w:szCs w:val="21"/>
              </w:rPr>
              <w:t>彭冰瑜</w:t>
            </w:r>
          </w:p>
        </w:tc>
        <w:tc>
          <w:tcPr>
            <w:tcW w:w="3509" w:type="dxa"/>
            <w:gridSpan w:val="4"/>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ascii="宋体" w:hAnsi="宋体" w:cs="宋体"/>
                <w:szCs w:val="21"/>
              </w:rPr>
            </w:pPr>
            <w:r>
              <w:rPr>
                <w:rFonts w:hint="eastAsia"/>
              </w:rPr>
              <w:t>助教（高校）</w:t>
            </w:r>
          </w:p>
        </w:tc>
        <w:tc>
          <w:tcPr>
            <w:tcW w:w="1704" w:type="dxa"/>
            <w:gridSpan w:val="2"/>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cs="宋体" w:asciiTheme="minorEastAsia" w:hAnsiTheme="minorEastAsia" w:eastAsiaTheme="minorEastAsia"/>
                <w:szCs w:val="21"/>
              </w:rPr>
            </w:pPr>
            <w:r>
              <w:rPr>
                <w:rFonts w:hint="eastAsia" w:asciiTheme="minorEastAsia" w:hAnsiTheme="minorEastAsia" w:eastAsiaTheme="minorEastAsia"/>
                <w:color w:val="000000"/>
              </w:rPr>
              <w:t>本科</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w:t>
            </w:r>
            <w:r>
              <w:rPr>
                <w:rFonts w:ascii="宋体" w:hAnsi="宋体" w:cs="宋体"/>
                <w:szCs w:val="21"/>
              </w:rPr>
              <w:t>0</w:t>
            </w:r>
          </w:p>
        </w:tc>
        <w:tc>
          <w:tcPr>
            <w:tcW w:w="1418" w:type="dxa"/>
            <w:gridSpan w:val="2"/>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ascii="宋体" w:hAnsi="宋体" w:cs="宋体"/>
                <w:szCs w:val="21"/>
              </w:rPr>
            </w:pPr>
            <w:r>
              <w:rPr>
                <w:rFonts w:hint="eastAsia"/>
                <w:color w:val="000000"/>
                <w:szCs w:val="21"/>
              </w:rPr>
              <w:t>杨艺云</w:t>
            </w:r>
          </w:p>
        </w:tc>
        <w:tc>
          <w:tcPr>
            <w:tcW w:w="3509" w:type="dxa"/>
            <w:gridSpan w:val="4"/>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ascii="宋体" w:hAnsi="宋体" w:cs="宋体"/>
                <w:szCs w:val="21"/>
              </w:rPr>
            </w:pPr>
            <w:r>
              <w:rPr>
                <w:rFonts w:hint="eastAsia"/>
              </w:rPr>
              <w:t>助教（高校）</w:t>
            </w:r>
          </w:p>
        </w:tc>
        <w:tc>
          <w:tcPr>
            <w:tcW w:w="1704" w:type="dxa"/>
            <w:gridSpan w:val="2"/>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cs="宋体" w:asciiTheme="minorEastAsia" w:hAnsiTheme="minorEastAsia" w:eastAsiaTheme="minorEastAsia"/>
                <w:szCs w:val="21"/>
              </w:rPr>
            </w:pPr>
            <w:r>
              <w:rPr>
                <w:rFonts w:hint="eastAsia" w:asciiTheme="minorEastAsia" w:hAnsiTheme="minorEastAsia" w:eastAsiaTheme="minorEastAsia"/>
                <w:color w:val="000000"/>
              </w:rPr>
              <w:t>本科</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w:t>
            </w:r>
            <w:r>
              <w:rPr>
                <w:rFonts w:ascii="宋体" w:hAnsi="宋体" w:cs="宋体"/>
                <w:szCs w:val="21"/>
              </w:rPr>
              <w:t>1</w:t>
            </w:r>
          </w:p>
        </w:tc>
        <w:tc>
          <w:tcPr>
            <w:tcW w:w="1418" w:type="dxa"/>
            <w:gridSpan w:val="2"/>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ascii="宋体" w:hAnsi="宋体" w:cs="宋体"/>
                <w:szCs w:val="21"/>
              </w:rPr>
            </w:pPr>
            <w:r>
              <w:rPr>
                <w:rFonts w:hint="eastAsia"/>
                <w:color w:val="000000"/>
                <w:szCs w:val="21"/>
              </w:rPr>
              <w:t>黄苑婷</w:t>
            </w:r>
          </w:p>
        </w:tc>
        <w:tc>
          <w:tcPr>
            <w:tcW w:w="3509" w:type="dxa"/>
            <w:gridSpan w:val="4"/>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ascii="宋体" w:hAnsi="宋体" w:cs="宋体"/>
                <w:szCs w:val="21"/>
              </w:rPr>
            </w:pPr>
            <w:r>
              <w:rPr>
                <w:rFonts w:hint="eastAsia"/>
              </w:rPr>
              <w:t>助教（高校）</w:t>
            </w:r>
          </w:p>
        </w:tc>
        <w:tc>
          <w:tcPr>
            <w:tcW w:w="1704" w:type="dxa"/>
            <w:gridSpan w:val="2"/>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cs="宋体" w:asciiTheme="minorEastAsia" w:hAnsiTheme="minorEastAsia" w:eastAsiaTheme="minorEastAsia"/>
                <w:szCs w:val="21"/>
              </w:rPr>
            </w:pPr>
            <w:r>
              <w:rPr>
                <w:rFonts w:hint="eastAsia" w:asciiTheme="minorEastAsia" w:hAnsiTheme="minorEastAsia" w:eastAsiaTheme="minorEastAsia"/>
                <w:color w:val="000000"/>
              </w:rPr>
              <w:t>硕士研究生</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12</w:t>
            </w:r>
          </w:p>
        </w:tc>
        <w:tc>
          <w:tcPr>
            <w:tcW w:w="1418" w:type="dxa"/>
            <w:gridSpan w:val="2"/>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ascii="宋体" w:hAnsi="宋体" w:cs="宋体"/>
                <w:szCs w:val="21"/>
              </w:rPr>
            </w:pPr>
            <w:r>
              <w:rPr>
                <w:rFonts w:hint="eastAsia"/>
                <w:color w:val="000000"/>
                <w:szCs w:val="21"/>
              </w:rPr>
              <w:t>林堡甄</w:t>
            </w:r>
          </w:p>
        </w:tc>
        <w:tc>
          <w:tcPr>
            <w:tcW w:w="3509" w:type="dxa"/>
            <w:gridSpan w:val="4"/>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ascii="宋体" w:hAnsi="宋体" w:cs="宋体"/>
                <w:szCs w:val="21"/>
              </w:rPr>
            </w:pPr>
            <w:r>
              <w:rPr>
                <w:rFonts w:hint="eastAsia"/>
              </w:rPr>
              <w:t>助教（高校）</w:t>
            </w:r>
          </w:p>
        </w:tc>
        <w:tc>
          <w:tcPr>
            <w:tcW w:w="1704" w:type="dxa"/>
            <w:gridSpan w:val="2"/>
            <w:tcBorders>
              <w:top w:val="nil"/>
              <w:left w:val="single" w:color="auto" w:sz="4" w:space="0"/>
              <w:bottom w:val="single" w:color="auto" w:sz="4" w:space="0"/>
              <w:right w:val="single" w:color="auto" w:sz="4" w:space="0"/>
            </w:tcBorders>
            <w:shd w:val="clear" w:color="auto" w:fill="auto"/>
            <w:vAlign w:val="center"/>
          </w:tcPr>
          <w:p>
            <w:pPr>
              <w:tabs>
                <w:tab w:val="center" w:pos="789"/>
              </w:tabs>
              <w:adjustRightInd w:val="0"/>
              <w:snapToGrid w:val="0"/>
              <w:rPr>
                <w:rFonts w:cs="宋体" w:asciiTheme="minorEastAsia" w:hAnsiTheme="minorEastAsia" w:eastAsiaTheme="minorEastAsia"/>
                <w:szCs w:val="21"/>
              </w:rPr>
            </w:pPr>
            <w:r>
              <w:rPr>
                <w:rFonts w:hint="eastAsia" w:asciiTheme="minorEastAsia" w:hAnsiTheme="minorEastAsia" w:eastAsiaTheme="minorEastAsia"/>
                <w:color w:val="000000"/>
              </w:rPr>
              <w:t>本科</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13</w:t>
            </w:r>
          </w:p>
        </w:tc>
        <w:tc>
          <w:tcPr>
            <w:tcW w:w="1418" w:type="dxa"/>
            <w:gridSpan w:val="2"/>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ascii="宋体" w:hAnsi="宋体" w:cs="宋体"/>
                <w:szCs w:val="21"/>
              </w:rPr>
            </w:pPr>
            <w:r>
              <w:rPr>
                <w:rFonts w:hint="eastAsia"/>
                <w:color w:val="000000"/>
                <w:szCs w:val="21"/>
              </w:rPr>
              <w:t>黄奕为</w:t>
            </w:r>
          </w:p>
        </w:tc>
        <w:tc>
          <w:tcPr>
            <w:tcW w:w="3509" w:type="dxa"/>
            <w:gridSpan w:val="4"/>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ascii="宋体" w:hAnsi="宋体" w:cs="宋体"/>
                <w:szCs w:val="21"/>
              </w:rPr>
            </w:pPr>
            <w:r>
              <w:rPr>
                <w:rFonts w:hint="eastAsia"/>
              </w:rPr>
              <w:t>助教（高校）</w:t>
            </w:r>
          </w:p>
        </w:tc>
        <w:tc>
          <w:tcPr>
            <w:tcW w:w="1704" w:type="dxa"/>
            <w:gridSpan w:val="2"/>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cs="宋体" w:asciiTheme="minorEastAsia" w:hAnsiTheme="minorEastAsia" w:eastAsiaTheme="minorEastAsia"/>
                <w:szCs w:val="21"/>
              </w:rPr>
            </w:pPr>
            <w:r>
              <w:rPr>
                <w:rFonts w:hint="eastAsia" w:asciiTheme="minorEastAsia" w:hAnsiTheme="minorEastAsia" w:eastAsiaTheme="minorEastAsia"/>
                <w:color w:val="000000"/>
              </w:rPr>
              <w:t>本科</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w:t>
            </w:r>
            <w:r>
              <w:rPr>
                <w:rFonts w:ascii="宋体" w:hAnsi="宋体" w:cs="宋体"/>
                <w:szCs w:val="21"/>
              </w:rPr>
              <w:t>4</w:t>
            </w:r>
          </w:p>
        </w:tc>
        <w:tc>
          <w:tcPr>
            <w:tcW w:w="1418" w:type="dxa"/>
            <w:gridSpan w:val="2"/>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ascii="宋体" w:hAnsi="宋体" w:cs="宋体"/>
                <w:szCs w:val="21"/>
              </w:rPr>
            </w:pPr>
            <w:r>
              <w:rPr>
                <w:rFonts w:hint="eastAsia"/>
                <w:color w:val="000000"/>
                <w:szCs w:val="21"/>
              </w:rPr>
              <w:t>陈妙玲</w:t>
            </w:r>
          </w:p>
        </w:tc>
        <w:tc>
          <w:tcPr>
            <w:tcW w:w="3509" w:type="dxa"/>
            <w:gridSpan w:val="4"/>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ascii="宋体" w:hAnsi="宋体" w:cs="宋体"/>
                <w:szCs w:val="21"/>
              </w:rPr>
            </w:pPr>
            <w:r>
              <w:rPr>
                <w:rFonts w:hint="eastAsia"/>
              </w:rPr>
              <w:t>讲师（高校）</w:t>
            </w:r>
          </w:p>
        </w:tc>
        <w:tc>
          <w:tcPr>
            <w:tcW w:w="1704" w:type="dxa"/>
            <w:gridSpan w:val="2"/>
            <w:tcBorders>
              <w:top w:val="nil"/>
              <w:left w:val="single" w:color="auto" w:sz="4" w:space="0"/>
              <w:bottom w:val="single" w:color="auto" w:sz="4" w:space="0"/>
              <w:right w:val="single" w:color="auto" w:sz="4" w:space="0"/>
            </w:tcBorders>
            <w:shd w:val="clear" w:color="auto" w:fill="auto"/>
            <w:vAlign w:val="center"/>
          </w:tcPr>
          <w:p>
            <w:pPr>
              <w:tabs>
                <w:tab w:val="center" w:pos="789"/>
              </w:tabs>
              <w:adjustRightInd w:val="0"/>
              <w:snapToGrid w:val="0"/>
              <w:rPr>
                <w:rFonts w:cs="宋体" w:asciiTheme="minorEastAsia" w:hAnsiTheme="minorEastAsia" w:eastAsiaTheme="minorEastAsia"/>
                <w:szCs w:val="21"/>
              </w:rPr>
            </w:pPr>
            <w:r>
              <w:rPr>
                <w:rFonts w:hint="eastAsia" w:asciiTheme="minorEastAsia" w:hAnsiTheme="minorEastAsia" w:eastAsiaTheme="minorEastAsia"/>
                <w:color w:val="000000"/>
              </w:rPr>
              <w:t>本科</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w:t>
            </w:r>
            <w:r>
              <w:rPr>
                <w:rFonts w:ascii="宋体" w:hAnsi="宋体" w:cs="宋体"/>
                <w:szCs w:val="21"/>
              </w:rPr>
              <w:t>5</w:t>
            </w:r>
          </w:p>
        </w:tc>
        <w:tc>
          <w:tcPr>
            <w:tcW w:w="1418" w:type="dxa"/>
            <w:gridSpan w:val="2"/>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ascii="宋体" w:hAnsi="宋体" w:cs="宋体"/>
                <w:szCs w:val="21"/>
              </w:rPr>
            </w:pPr>
            <w:r>
              <w:rPr>
                <w:rFonts w:hint="eastAsia"/>
                <w:color w:val="000000"/>
                <w:szCs w:val="21"/>
              </w:rPr>
              <w:t>寻志伟</w:t>
            </w:r>
          </w:p>
        </w:tc>
        <w:tc>
          <w:tcPr>
            <w:tcW w:w="3509" w:type="dxa"/>
            <w:gridSpan w:val="4"/>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ascii="宋体" w:hAnsi="宋体" w:cs="宋体"/>
                <w:szCs w:val="21"/>
              </w:rPr>
            </w:pPr>
            <w:r>
              <w:rPr>
                <w:rFonts w:hint="eastAsia"/>
              </w:rPr>
              <w:t>副教授</w:t>
            </w:r>
          </w:p>
        </w:tc>
        <w:tc>
          <w:tcPr>
            <w:tcW w:w="1704" w:type="dxa"/>
            <w:gridSpan w:val="2"/>
            <w:tcBorders>
              <w:top w:val="nil"/>
              <w:left w:val="single" w:color="auto" w:sz="4" w:space="0"/>
              <w:bottom w:val="single" w:color="auto" w:sz="4" w:space="0"/>
              <w:right w:val="single" w:color="auto" w:sz="4" w:space="0"/>
            </w:tcBorders>
            <w:shd w:val="clear" w:color="auto" w:fill="auto"/>
            <w:vAlign w:val="center"/>
          </w:tcPr>
          <w:p>
            <w:pPr>
              <w:tabs>
                <w:tab w:val="center" w:pos="789"/>
              </w:tabs>
              <w:adjustRightInd w:val="0"/>
              <w:snapToGrid w:val="0"/>
              <w:rPr>
                <w:rFonts w:cs="宋体" w:asciiTheme="minorEastAsia" w:hAnsiTheme="minorEastAsia" w:eastAsiaTheme="minorEastAsia"/>
                <w:szCs w:val="21"/>
              </w:rPr>
            </w:pPr>
            <w:r>
              <w:rPr>
                <w:rFonts w:hint="eastAsia" w:asciiTheme="minorEastAsia" w:hAnsiTheme="minorEastAsia" w:eastAsiaTheme="minorEastAsia"/>
                <w:color w:val="000000"/>
              </w:rPr>
              <w:t>硕士研究生</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w:t>
            </w:r>
            <w:r>
              <w:rPr>
                <w:rFonts w:ascii="宋体" w:hAnsi="宋体" w:cs="宋体"/>
                <w:szCs w:val="21"/>
              </w:rPr>
              <w:t>6</w:t>
            </w:r>
          </w:p>
        </w:tc>
        <w:tc>
          <w:tcPr>
            <w:tcW w:w="1418" w:type="dxa"/>
            <w:gridSpan w:val="2"/>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ascii="宋体" w:hAnsi="宋体" w:cs="宋体"/>
                <w:szCs w:val="21"/>
              </w:rPr>
            </w:pPr>
            <w:r>
              <w:rPr>
                <w:rFonts w:hint="eastAsia"/>
                <w:color w:val="000000"/>
                <w:szCs w:val="21"/>
              </w:rPr>
              <w:t>周浣诗</w:t>
            </w:r>
          </w:p>
        </w:tc>
        <w:tc>
          <w:tcPr>
            <w:tcW w:w="3509" w:type="dxa"/>
            <w:gridSpan w:val="4"/>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ascii="宋体" w:hAnsi="宋体" w:cs="宋体"/>
                <w:szCs w:val="21"/>
              </w:rPr>
            </w:pPr>
            <w:r>
              <w:rPr>
                <w:rFonts w:hint="eastAsia"/>
              </w:rPr>
              <w:t>助教（高校）</w:t>
            </w:r>
          </w:p>
        </w:tc>
        <w:tc>
          <w:tcPr>
            <w:tcW w:w="1704" w:type="dxa"/>
            <w:gridSpan w:val="2"/>
            <w:tcBorders>
              <w:top w:val="nil"/>
              <w:left w:val="single" w:color="auto" w:sz="4" w:space="0"/>
              <w:bottom w:val="single" w:color="auto" w:sz="4" w:space="0"/>
              <w:right w:val="single" w:color="auto" w:sz="4" w:space="0"/>
            </w:tcBorders>
            <w:shd w:val="clear" w:color="auto" w:fill="auto"/>
            <w:vAlign w:val="center"/>
          </w:tcPr>
          <w:p>
            <w:pPr>
              <w:tabs>
                <w:tab w:val="center" w:pos="789"/>
              </w:tabs>
              <w:adjustRightInd w:val="0"/>
              <w:snapToGrid w:val="0"/>
              <w:rPr>
                <w:rFonts w:cs="宋体" w:asciiTheme="minorEastAsia" w:hAnsiTheme="minorEastAsia" w:eastAsiaTheme="minorEastAsia"/>
                <w:szCs w:val="21"/>
              </w:rPr>
            </w:pPr>
            <w:r>
              <w:rPr>
                <w:rFonts w:hint="eastAsia" w:asciiTheme="minorEastAsia" w:hAnsiTheme="minorEastAsia" w:eastAsiaTheme="minorEastAsia"/>
                <w:color w:val="000000"/>
              </w:rPr>
              <w:t>硕士研究生</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w:t>
            </w:r>
            <w:r>
              <w:rPr>
                <w:rFonts w:ascii="宋体" w:hAnsi="宋体" w:cs="宋体"/>
                <w:szCs w:val="21"/>
              </w:rPr>
              <w:t>7</w:t>
            </w:r>
          </w:p>
        </w:tc>
        <w:tc>
          <w:tcPr>
            <w:tcW w:w="1418" w:type="dxa"/>
            <w:gridSpan w:val="2"/>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ascii="宋体" w:hAnsi="宋体" w:cs="宋体"/>
                <w:szCs w:val="21"/>
              </w:rPr>
            </w:pPr>
            <w:r>
              <w:rPr>
                <w:rFonts w:hint="eastAsia"/>
                <w:color w:val="000000"/>
                <w:szCs w:val="21"/>
              </w:rPr>
              <w:t>杨廷尧</w:t>
            </w:r>
          </w:p>
        </w:tc>
        <w:tc>
          <w:tcPr>
            <w:tcW w:w="3509" w:type="dxa"/>
            <w:gridSpan w:val="4"/>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ascii="宋体" w:hAnsi="宋体" w:cs="宋体"/>
                <w:szCs w:val="21"/>
              </w:rPr>
            </w:pPr>
            <w:r>
              <w:rPr>
                <w:rFonts w:hint="eastAsia"/>
              </w:rPr>
              <w:t>助教（高校）</w:t>
            </w:r>
          </w:p>
        </w:tc>
        <w:tc>
          <w:tcPr>
            <w:tcW w:w="1704" w:type="dxa"/>
            <w:gridSpan w:val="2"/>
            <w:tcBorders>
              <w:top w:val="nil"/>
              <w:left w:val="single" w:color="auto" w:sz="4" w:space="0"/>
              <w:bottom w:val="single" w:color="auto" w:sz="4" w:space="0"/>
              <w:right w:val="single" w:color="auto" w:sz="4" w:space="0"/>
            </w:tcBorders>
            <w:shd w:val="clear" w:color="auto" w:fill="auto"/>
            <w:vAlign w:val="center"/>
          </w:tcPr>
          <w:p>
            <w:pPr>
              <w:tabs>
                <w:tab w:val="center" w:pos="789"/>
              </w:tabs>
              <w:adjustRightInd w:val="0"/>
              <w:snapToGrid w:val="0"/>
              <w:rPr>
                <w:rFonts w:cs="宋体" w:asciiTheme="minorEastAsia" w:hAnsiTheme="minorEastAsia" w:eastAsiaTheme="minorEastAsia"/>
                <w:szCs w:val="21"/>
              </w:rPr>
            </w:pPr>
            <w:r>
              <w:rPr>
                <w:rFonts w:hint="eastAsia" w:asciiTheme="minorEastAsia" w:hAnsiTheme="minorEastAsia" w:eastAsiaTheme="minorEastAsia"/>
                <w:color w:val="000000"/>
              </w:rPr>
              <w:t>硕士研究生</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w:t>
            </w:r>
            <w:r>
              <w:rPr>
                <w:rFonts w:ascii="宋体" w:hAnsi="宋体" w:cs="宋体"/>
                <w:szCs w:val="21"/>
              </w:rPr>
              <w:t>8</w:t>
            </w:r>
          </w:p>
        </w:tc>
        <w:tc>
          <w:tcPr>
            <w:tcW w:w="1418" w:type="dxa"/>
            <w:gridSpan w:val="2"/>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ascii="宋体" w:hAnsi="宋体" w:cs="宋体"/>
                <w:szCs w:val="21"/>
              </w:rPr>
            </w:pPr>
            <w:r>
              <w:rPr>
                <w:rFonts w:hint="eastAsia"/>
                <w:color w:val="000000"/>
                <w:szCs w:val="21"/>
              </w:rPr>
              <w:t>贺尔曼</w:t>
            </w:r>
          </w:p>
        </w:tc>
        <w:tc>
          <w:tcPr>
            <w:tcW w:w="3509" w:type="dxa"/>
            <w:gridSpan w:val="4"/>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ascii="宋体" w:hAnsi="宋体" w:cs="宋体"/>
                <w:szCs w:val="21"/>
              </w:rPr>
            </w:pPr>
            <w:r>
              <w:rPr>
                <w:rFonts w:hint="eastAsia"/>
              </w:rPr>
              <w:t>助教（高校）</w:t>
            </w:r>
          </w:p>
        </w:tc>
        <w:tc>
          <w:tcPr>
            <w:tcW w:w="1704" w:type="dxa"/>
            <w:gridSpan w:val="2"/>
            <w:tcBorders>
              <w:top w:val="nil"/>
              <w:left w:val="single" w:color="auto" w:sz="4" w:space="0"/>
              <w:bottom w:val="single" w:color="auto" w:sz="4" w:space="0"/>
              <w:right w:val="single" w:color="auto" w:sz="4" w:space="0"/>
            </w:tcBorders>
            <w:shd w:val="clear" w:color="auto" w:fill="auto"/>
            <w:vAlign w:val="center"/>
          </w:tcPr>
          <w:p>
            <w:pPr>
              <w:tabs>
                <w:tab w:val="center" w:pos="789"/>
              </w:tabs>
              <w:adjustRightInd w:val="0"/>
              <w:snapToGrid w:val="0"/>
              <w:rPr>
                <w:rFonts w:cs="宋体" w:asciiTheme="minorEastAsia" w:hAnsiTheme="minorEastAsia" w:eastAsiaTheme="minorEastAsia"/>
                <w:szCs w:val="21"/>
              </w:rPr>
            </w:pPr>
            <w:r>
              <w:rPr>
                <w:rFonts w:hint="eastAsia" w:asciiTheme="minorEastAsia" w:hAnsiTheme="minorEastAsia" w:eastAsiaTheme="minorEastAsia"/>
                <w:color w:val="000000"/>
              </w:rPr>
              <w:t>硕士研究生</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19</w:t>
            </w:r>
          </w:p>
        </w:tc>
        <w:tc>
          <w:tcPr>
            <w:tcW w:w="1418" w:type="dxa"/>
            <w:gridSpan w:val="2"/>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ascii="宋体" w:hAnsi="宋体" w:cs="宋体"/>
                <w:szCs w:val="21"/>
              </w:rPr>
            </w:pPr>
            <w:r>
              <w:rPr>
                <w:rFonts w:hint="eastAsia"/>
                <w:color w:val="000000"/>
                <w:szCs w:val="21"/>
              </w:rPr>
              <w:t>叶华浩</w:t>
            </w:r>
          </w:p>
        </w:tc>
        <w:tc>
          <w:tcPr>
            <w:tcW w:w="3509" w:type="dxa"/>
            <w:gridSpan w:val="4"/>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ascii="宋体" w:hAnsi="宋体" w:cs="宋体"/>
                <w:szCs w:val="21"/>
              </w:rPr>
            </w:pPr>
            <w:r>
              <w:rPr>
                <w:rFonts w:hint="eastAsia"/>
              </w:rPr>
              <w:t>助教（高校）</w:t>
            </w:r>
          </w:p>
        </w:tc>
        <w:tc>
          <w:tcPr>
            <w:tcW w:w="1704" w:type="dxa"/>
            <w:gridSpan w:val="2"/>
            <w:tcBorders>
              <w:top w:val="nil"/>
              <w:left w:val="single" w:color="auto" w:sz="4" w:space="0"/>
              <w:bottom w:val="single" w:color="auto" w:sz="4" w:space="0"/>
              <w:right w:val="single" w:color="auto" w:sz="4" w:space="0"/>
            </w:tcBorders>
            <w:shd w:val="clear" w:color="auto" w:fill="auto"/>
            <w:vAlign w:val="center"/>
          </w:tcPr>
          <w:p>
            <w:pPr>
              <w:tabs>
                <w:tab w:val="center" w:pos="789"/>
              </w:tabs>
              <w:adjustRightInd w:val="0"/>
              <w:snapToGrid w:val="0"/>
              <w:rPr>
                <w:rFonts w:cs="宋体" w:asciiTheme="minorEastAsia" w:hAnsiTheme="minorEastAsia" w:eastAsiaTheme="minorEastAsia"/>
                <w:szCs w:val="21"/>
              </w:rPr>
            </w:pPr>
            <w:r>
              <w:rPr>
                <w:rFonts w:hint="eastAsia" w:asciiTheme="minorEastAsia" w:hAnsiTheme="minorEastAsia" w:eastAsiaTheme="minorEastAsia"/>
                <w:color w:val="000000"/>
              </w:rPr>
              <w:t>本科</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20</w:t>
            </w:r>
          </w:p>
        </w:tc>
        <w:tc>
          <w:tcPr>
            <w:tcW w:w="1418" w:type="dxa"/>
            <w:gridSpan w:val="2"/>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ascii="宋体" w:hAnsi="宋体" w:cs="宋体"/>
                <w:szCs w:val="21"/>
              </w:rPr>
            </w:pPr>
            <w:r>
              <w:rPr>
                <w:rFonts w:hint="eastAsia"/>
                <w:color w:val="000000"/>
                <w:szCs w:val="21"/>
              </w:rPr>
              <w:t>刘思余</w:t>
            </w:r>
          </w:p>
        </w:tc>
        <w:tc>
          <w:tcPr>
            <w:tcW w:w="3509" w:type="dxa"/>
            <w:gridSpan w:val="4"/>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ascii="宋体" w:hAnsi="宋体" w:cs="宋体"/>
                <w:szCs w:val="21"/>
              </w:rPr>
            </w:pPr>
            <w:r>
              <w:rPr>
                <w:rFonts w:hint="eastAsia"/>
              </w:rPr>
              <w:t>助教（高校）</w:t>
            </w:r>
          </w:p>
        </w:tc>
        <w:tc>
          <w:tcPr>
            <w:tcW w:w="1704" w:type="dxa"/>
            <w:gridSpan w:val="2"/>
            <w:tcBorders>
              <w:top w:val="nil"/>
              <w:left w:val="single" w:color="auto" w:sz="4" w:space="0"/>
              <w:bottom w:val="single" w:color="auto" w:sz="4" w:space="0"/>
              <w:right w:val="single" w:color="auto" w:sz="4" w:space="0"/>
            </w:tcBorders>
            <w:shd w:val="clear" w:color="auto" w:fill="auto"/>
            <w:vAlign w:val="center"/>
          </w:tcPr>
          <w:p>
            <w:pPr>
              <w:tabs>
                <w:tab w:val="center" w:pos="789"/>
              </w:tabs>
              <w:adjustRightInd w:val="0"/>
              <w:snapToGrid w:val="0"/>
              <w:rPr>
                <w:rFonts w:cs="宋体" w:asciiTheme="minorEastAsia" w:hAnsiTheme="minorEastAsia" w:eastAsiaTheme="minorEastAsia"/>
                <w:szCs w:val="21"/>
              </w:rPr>
            </w:pPr>
            <w:r>
              <w:rPr>
                <w:rFonts w:hint="eastAsia" w:asciiTheme="minorEastAsia" w:hAnsiTheme="minorEastAsia" w:eastAsiaTheme="minorEastAsia"/>
                <w:color w:val="000000"/>
              </w:rPr>
              <w:t>本科</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2</w:t>
            </w:r>
            <w:r>
              <w:rPr>
                <w:rFonts w:ascii="宋体" w:hAnsi="宋体" w:cs="宋体"/>
                <w:szCs w:val="21"/>
              </w:rPr>
              <w:t>1</w:t>
            </w:r>
          </w:p>
        </w:tc>
        <w:tc>
          <w:tcPr>
            <w:tcW w:w="1418" w:type="dxa"/>
            <w:gridSpan w:val="2"/>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ascii="宋体" w:hAnsi="宋体" w:cs="宋体"/>
                <w:szCs w:val="21"/>
              </w:rPr>
            </w:pPr>
            <w:r>
              <w:rPr>
                <w:rFonts w:hint="eastAsia"/>
                <w:color w:val="000000"/>
                <w:szCs w:val="21"/>
              </w:rPr>
              <w:t>陈雪琳</w:t>
            </w:r>
          </w:p>
        </w:tc>
        <w:tc>
          <w:tcPr>
            <w:tcW w:w="3509" w:type="dxa"/>
            <w:gridSpan w:val="4"/>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ascii="宋体" w:hAnsi="宋体" w:cs="宋体"/>
                <w:szCs w:val="21"/>
              </w:rPr>
            </w:pPr>
            <w:r>
              <w:rPr>
                <w:rFonts w:hint="eastAsia"/>
              </w:rPr>
              <w:t>助教（高校）</w:t>
            </w:r>
          </w:p>
        </w:tc>
        <w:tc>
          <w:tcPr>
            <w:tcW w:w="1704" w:type="dxa"/>
            <w:gridSpan w:val="2"/>
            <w:tcBorders>
              <w:top w:val="nil"/>
              <w:left w:val="single" w:color="auto" w:sz="4" w:space="0"/>
              <w:bottom w:val="single" w:color="auto" w:sz="4" w:space="0"/>
              <w:right w:val="single" w:color="auto" w:sz="4" w:space="0"/>
            </w:tcBorders>
            <w:shd w:val="clear" w:color="auto" w:fill="auto"/>
            <w:vAlign w:val="center"/>
          </w:tcPr>
          <w:p>
            <w:pPr>
              <w:tabs>
                <w:tab w:val="center" w:pos="789"/>
              </w:tabs>
              <w:adjustRightInd w:val="0"/>
              <w:snapToGrid w:val="0"/>
              <w:rPr>
                <w:rFonts w:cs="宋体" w:asciiTheme="minorEastAsia" w:hAnsiTheme="minorEastAsia" w:eastAsiaTheme="minorEastAsia"/>
                <w:szCs w:val="21"/>
              </w:rPr>
            </w:pPr>
            <w:r>
              <w:rPr>
                <w:rFonts w:hint="eastAsia" w:asciiTheme="minorEastAsia" w:hAnsiTheme="minorEastAsia" w:eastAsiaTheme="minorEastAsia"/>
                <w:color w:val="000000"/>
              </w:rPr>
              <w:t>本科</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2</w:t>
            </w:r>
            <w:r>
              <w:rPr>
                <w:rFonts w:ascii="宋体" w:hAnsi="宋体" w:cs="宋体"/>
                <w:szCs w:val="21"/>
              </w:rPr>
              <w:t>2</w:t>
            </w:r>
          </w:p>
        </w:tc>
        <w:tc>
          <w:tcPr>
            <w:tcW w:w="1418" w:type="dxa"/>
            <w:gridSpan w:val="2"/>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ascii="宋体" w:hAnsi="宋体" w:cs="宋体"/>
                <w:szCs w:val="21"/>
              </w:rPr>
            </w:pPr>
            <w:r>
              <w:rPr>
                <w:rFonts w:hint="eastAsia"/>
                <w:color w:val="000000"/>
                <w:szCs w:val="21"/>
              </w:rPr>
              <w:t>丁焕昌</w:t>
            </w:r>
          </w:p>
        </w:tc>
        <w:tc>
          <w:tcPr>
            <w:tcW w:w="3509" w:type="dxa"/>
            <w:gridSpan w:val="4"/>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ascii="宋体" w:hAnsi="宋体" w:cs="宋体"/>
                <w:szCs w:val="21"/>
              </w:rPr>
            </w:pPr>
            <w:r>
              <w:rPr>
                <w:rFonts w:hint="eastAsia"/>
                <w:color w:val="000000"/>
              </w:rPr>
              <w:t>助教（高校）</w:t>
            </w:r>
          </w:p>
        </w:tc>
        <w:tc>
          <w:tcPr>
            <w:tcW w:w="1704" w:type="dxa"/>
            <w:gridSpan w:val="2"/>
            <w:tcBorders>
              <w:top w:val="nil"/>
              <w:left w:val="single" w:color="auto" w:sz="4" w:space="0"/>
              <w:bottom w:val="single" w:color="auto" w:sz="4" w:space="0"/>
              <w:right w:val="single" w:color="auto" w:sz="4" w:space="0"/>
            </w:tcBorders>
            <w:shd w:val="clear" w:color="auto" w:fill="auto"/>
            <w:vAlign w:val="center"/>
          </w:tcPr>
          <w:p>
            <w:pPr>
              <w:tabs>
                <w:tab w:val="center" w:pos="789"/>
              </w:tabs>
              <w:adjustRightInd w:val="0"/>
              <w:snapToGrid w:val="0"/>
              <w:rPr>
                <w:rFonts w:cs="宋体" w:asciiTheme="minorEastAsia" w:hAnsiTheme="minorEastAsia" w:eastAsiaTheme="minorEastAsia"/>
                <w:szCs w:val="21"/>
              </w:rPr>
            </w:pPr>
            <w:r>
              <w:rPr>
                <w:rFonts w:hint="eastAsia" w:asciiTheme="minorEastAsia" w:hAnsiTheme="minorEastAsia" w:eastAsiaTheme="minorEastAsia"/>
                <w:color w:val="000000"/>
              </w:rPr>
              <w:t>硕士研究生</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55" w:hRule="atLeast"/>
          <w:jc w:val="center"/>
        </w:trPr>
        <w:tc>
          <w:tcPr>
            <w:tcW w:w="1548" w:type="dxa"/>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职称结构</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高级</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中级</w:t>
            </w:r>
          </w:p>
        </w:tc>
        <w:tc>
          <w:tcPr>
            <w:tcW w:w="2266"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初级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72" w:hRule="atLeast"/>
          <w:jc w:val="center"/>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77" w:hRule="atLeast"/>
          <w:jc w:val="center"/>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ascii="宋体" w:hAnsi="宋体" w:cs="宋体"/>
                <w:szCs w:val="21"/>
              </w:rPr>
              <w:t>1</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ascii="宋体" w:hAnsi="宋体" w:cs="宋体"/>
                <w:szCs w:val="21"/>
              </w:rPr>
              <w:t>4.5%</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ascii="宋体" w:hAnsi="宋体" w:cs="宋体"/>
                <w:szCs w:val="21"/>
              </w:rPr>
              <w:t>5</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ascii="宋体" w:hAnsi="宋体" w:cs="宋体"/>
                <w:szCs w:val="21"/>
              </w:rPr>
              <w:t>22.7%</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ascii="宋体" w:hAnsi="宋体" w:cs="宋体"/>
                <w:szCs w:val="21"/>
              </w:rPr>
              <w:t>16</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ascii="宋体" w:hAnsi="宋体" w:cs="宋体"/>
                <w:szCs w:val="21"/>
              </w:rPr>
              <w:t>72.8%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6" w:hRule="atLeast"/>
          <w:jc w:val="center"/>
        </w:trPr>
        <w:tc>
          <w:tcPr>
            <w:tcW w:w="1548" w:type="dxa"/>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年龄结构</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35岁以下</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35-45岁</w:t>
            </w:r>
          </w:p>
        </w:tc>
        <w:tc>
          <w:tcPr>
            <w:tcW w:w="2266"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45岁以上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71" w:hRule="atLeast"/>
          <w:jc w:val="center"/>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0" w:hRule="atLeast"/>
          <w:jc w:val="center"/>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1</w:t>
            </w:r>
            <w:r>
              <w:rPr>
                <w:rFonts w:ascii="宋体" w:hAnsi="宋体" w:cs="宋体"/>
                <w:szCs w:val="21"/>
              </w:rPr>
              <w:t>8</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ascii="宋体" w:hAnsi="宋体" w:cs="宋体"/>
                <w:szCs w:val="21"/>
              </w:rPr>
              <w:t>81.8%</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ascii="宋体" w:hAnsi="宋体" w:cs="宋体"/>
                <w:szCs w:val="21"/>
              </w:rPr>
              <w:t>2</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ascii="宋体" w:hAnsi="宋体" w:cs="宋体"/>
                <w:szCs w:val="21"/>
              </w:rPr>
              <w:t>9.1%</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2</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9</w:t>
            </w:r>
            <w:r>
              <w:rPr>
                <w:rFonts w:ascii="宋体" w:hAnsi="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5" w:hRule="atLeast"/>
          <w:jc w:val="center"/>
        </w:trPr>
        <w:tc>
          <w:tcPr>
            <w:tcW w:w="1548" w:type="dxa"/>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学位结构</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博士</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硕士（含在读）</w:t>
            </w:r>
          </w:p>
        </w:tc>
        <w:tc>
          <w:tcPr>
            <w:tcW w:w="2266"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学士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9" w:hRule="atLeast"/>
          <w:jc w:val="center"/>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59" w:hRule="atLeast"/>
          <w:jc w:val="center"/>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0</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0</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ascii="宋体" w:hAnsi="宋体" w:cs="宋体"/>
                <w:szCs w:val="21"/>
              </w:rPr>
              <w:t>10</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ascii="宋体" w:hAnsi="宋体" w:cs="宋体"/>
                <w:szCs w:val="21"/>
              </w:rPr>
              <w:t>45.5%</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1</w:t>
            </w:r>
            <w:r>
              <w:rPr>
                <w:rFonts w:ascii="宋体" w:hAnsi="宋体" w:cs="宋体"/>
                <w:szCs w:val="21"/>
              </w:rPr>
              <w:t>2</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ascii="宋体" w:hAnsi="宋体" w:cs="宋体"/>
                <w:szCs w:val="21"/>
              </w:rPr>
              <w:t>54.5%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105" w:hRule="atLeast"/>
          <w:jc w:val="center"/>
        </w:trPr>
        <w:tc>
          <w:tcPr>
            <w:tcW w:w="1548" w:type="dxa"/>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双师素质</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是</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否</w:t>
            </w:r>
          </w:p>
        </w:tc>
        <w:tc>
          <w:tcPr>
            <w:tcW w:w="2266" w:type="dxa"/>
            <w:gridSpan w:val="3"/>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51" w:hRule="atLeast"/>
          <w:jc w:val="center"/>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226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70" w:hRule="atLeast"/>
          <w:jc w:val="center"/>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1</w:t>
            </w:r>
            <w:r>
              <w:rPr>
                <w:rFonts w:ascii="宋体" w:hAnsi="宋体" w:cs="宋体"/>
                <w:szCs w:val="21"/>
              </w:rPr>
              <w:t>0</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ascii="宋体" w:hAnsi="宋体" w:cs="宋体"/>
                <w:szCs w:val="21"/>
              </w:rPr>
              <w:t>45.5%</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1</w:t>
            </w:r>
            <w:r>
              <w:rPr>
                <w:rFonts w:ascii="宋体" w:hAnsi="宋体" w:cs="宋体"/>
                <w:szCs w:val="21"/>
              </w:rPr>
              <w:t>2</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ascii="宋体" w:hAnsi="宋体" w:cs="宋体"/>
                <w:szCs w:val="21"/>
              </w:rPr>
              <w:t>54.5%</w:t>
            </w:r>
          </w:p>
        </w:tc>
        <w:tc>
          <w:tcPr>
            <w:tcW w:w="226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75" w:hRule="atLeast"/>
          <w:jc w:val="center"/>
        </w:trPr>
        <w:tc>
          <w:tcPr>
            <w:tcW w:w="1548" w:type="dxa"/>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行业企业经历</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有</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无</w:t>
            </w:r>
          </w:p>
        </w:tc>
        <w:tc>
          <w:tcPr>
            <w:tcW w:w="2266" w:type="dxa"/>
            <w:gridSpan w:val="3"/>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4" w:hRule="atLeast"/>
          <w:jc w:val="center"/>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226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9" w:hRule="atLeast"/>
          <w:jc w:val="center"/>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1</w:t>
            </w:r>
            <w:r>
              <w:rPr>
                <w:rFonts w:ascii="宋体" w:hAnsi="宋体" w:cs="宋体"/>
                <w:szCs w:val="21"/>
              </w:rPr>
              <w:t>1</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ascii="宋体" w:hAnsi="宋体" w:cs="宋体"/>
                <w:szCs w:val="21"/>
              </w:rPr>
              <w:t>50</w:t>
            </w:r>
            <w:r>
              <w:rPr>
                <w:rFonts w:hint="eastAsia" w:ascii="宋体" w:hAnsi="宋体" w:cs="宋体"/>
                <w:szCs w:val="21"/>
              </w:rPr>
              <w:t>%</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1</w:t>
            </w:r>
            <w:r>
              <w:rPr>
                <w:rFonts w:ascii="宋体" w:hAnsi="宋体" w:cs="宋体"/>
                <w:szCs w:val="21"/>
              </w:rPr>
              <w:t>1</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5</w:t>
            </w:r>
            <w:r>
              <w:rPr>
                <w:rFonts w:ascii="宋体" w:hAnsi="宋体" w:cs="宋体"/>
                <w:szCs w:val="21"/>
              </w:rPr>
              <w:t>0</w:t>
            </w:r>
            <w:r>
              <w:rPr>
                <w:rFonts w:hint="eastAsia" w:ascii="宋体" w:hAnsi="宋体" w:cs="宋体"/>
                <w:szCs w:val="21"/>
              </w:rPr>
              <w:t>%</w:t>
            </w:r>
          </w:p>
        </w:tc>
        <w:tc>
          <w:tcPr>
            <w:tcW w:w="226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bl>
    <w:p>
      <w:pPr>
        <w:spacing w:line="360" w:lineRule="auto"/>
        <w:outlineLvl w:val="0"/>
        <w:rPr>
          <w:rStyle w:val="8"/>
          <w:rFonts w:ascii="宋体" w:hAnsi="宋体"/>
          <w:b w:val="0"/>
          <w:szCs w:val="21"/>
        </w:rPr>
      </w:pPr>
    </w:p>
    <w:p>
      <w:pPr>
        <w:spacing w:line="360" w:lineRule="auto"/>
        <w:ind w:firstLine="422" w:firstLineChars="200"/>
        <w:outlineLvl w:val="0"/>
        <w:rPr>
          <w:rStyle w:val="8"/>
          <w:rFonts w:ascii="宋体" w:hAnsi="宋体"/>
          <w:szCs w:val="21"/>
        </w:rPr>
      </w:pPr>
      <w:r>
        <w:rPr>
          <w:rStyle w:val="8"/>
          <w:rFonts w:hint="eastAsia" w:ascii="宋体" w:hAnsi="宋体"/>
          <w:szCs w:val="21"/>
        </w:rPr>
        <w:t>（二）教学设施</w:t>
      </w:r>
    </w:p>
    <w:p>
      <w:pPr>
        <w:spacing w:line="420" w:lineRule="exact"/>
        <w:ind w:firstLine="420" w:firstLineChars="200"/>
        <w:rPr>
          <w:rFonts w:ascii="宋体" w:hAnsi="宋体"/>
          <w:bCs/>
          <w:position w:val="6"/>
        </w:rPr>
      </w:pPr>
      <w:r>
        <w:rPr>
          <w:rFonts w:hint="eastAsia" w:ascii="宋体" w:hAnsi="宋体"/>
          <w:bCs/>
          <w:position w:val="6"/>
        </w:rPr>
        <w:t>本专业有校内实训室有</w:t>
      </w:r>
      <w:r>
        <w:rPr>
          <w:rFonts w:ascii="宋体" w:hAnsi="宋体"/>
          <w:bCs/>
          <w:position w:val="6"/>
        </w:rPr>
        <w:t>2</w:t>
      </w:r>
      <w:r>
        <w:rPr>
          <w:rFonts w:hint="eastAsia" w:ascii="宋体" w:hAnsi="宋体"/>
          <w:bCs/>
          <w:position w:val="6"/>
        </w:rPr>
        <w:t>个，可以提供所有上机实训。</w:t>
      </w:r>
    </w:p>
    <w:p>
      <w:pPr>
        <w:spacing w:line="420" w:lineRule="exact"/>
        <w:ind w:firstLine="420" w:firstLineChars="200"/>
        <w:jc w:val="center"/>
        <w:rPr>
          <w:rFonts w:ascii="宋体" w:hAnsi="宋体"/>
          <w:position w:val="6"/>
        </w:rPr>
      </w:pPr>
      <w:r>
        <w:rPr>
          <w:rFonts w:hint="eastAsia" w:ascii="宋体" w:hAnsi="宋体"/>
          <w:bCs/>
          <w:position w:val="6"/>
        </w:rPr>
        <w:t>校内实训基地一览表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0"/>
        <w:gridCol w:w="1516"/>
        <w:gridCol w:w="708"/>
        <w:gridCol w:w="2268"/>
        <w:gridCol w:w="1737"/>
        <w:gridCol w:w="20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1010" w:type="dxa"/>
            <w:vAlign w:val="center"/>
          </w:tcPr>
          <w:p>
            <w:pPr>
              <w:widowControl/>
              <w:jc w:val="center"/>
              <w:rPr>
                <w:rFonts w:ascii="宋体" w:hAnsi="宋体" w:cs="宋体"/>
                <w:b/>
                <w:bCs/>
                <w:kern w:val="0"/>
                <w:szCs w:val="21"/>
              </w:rPr>
            </w:pPr>
            <w:r>
              <w:rPr>
                <w:rFonts w:hint="eastAsia" w:ascii="宋体" w:hAnsi="宋体" w:cs="宋体"/>
                <w:b/>
                <w:bCs/>
                <w:kern w:val="0"/>
                <w:szCs w:val="21"/>
              </w:rPr>
              <w:t>序号</w:t>
            </w:r>
          </w:p>
        </w:tc>
        <w:tc>
          <w:tcPr>
            <w:tcW w:w="1516" w:type="dxa"/>
            <w:vAlign w:val="center"/>
          </w:tcPr>
          <w:p>
            <w:pPr>
              <w:widowControl/>
              <w:jc w:val="center"/>
              <w:rPr>
                <w:rFonts w:ascii="宋体" w:hAnsi="宋体" w:cs="宋体"/>
                <w:b/>
                <w:bCs/>
                <w:kern w:val="0"/>
                <w:szCs w:val="21"/>
              </w:rPr>
            </w:pPr>
            <w:r>
              <w:rPr>
                <w:rFonts w:hint="eastAsia" w:ascii="宋体" w:hAnsi="宋体" w:cs="宋体"/>
                <w:b/>
                <w:bCs/>
                <w:kern w:val="0"/>
                <w:szCs w:val="21"/>
              </w:rPr>
              <w:t>实训室名称</w:t>
            </w:r>
          </w:p>
        </w:tc>
        <w:tc>
          <w:tcPr>
            <w:tcW w:w="708" w:type="dxa"/>
            <w:vAlign w:val="center"/>
          </w:tcPr>
          <w:p>
            <w:pPr>
              <w:widowControl/>
              <w:jc w:val="center"/>
              <w:rPr>
                <w:rFonts w:ascii="宋体" w:hAnsi="宋体" w:cs="宋体"/>
                <w:b/>
                <w:bCs/>
                <w:kern w:val="0"/>
                <w:szCs w:val="21"/>
              </w:rPr>
            </w:pPr>
            <w:r>
              <w:rPr>
                <w:rFonts w:hint="eastAsia" w:ascii="宋体" w:hAnsi="宋体" w:cs="宋体"/>
                <w:b/>
                <w:bCs/>
                <w:kern w:val="0"/>
                <w:szCs w:val="21"/>
              </w:rPr>
              <w:t>位置</w:t>
            </w:r>
          </w:p>
        </w:tc>
        <w:tc>
          <w:tcPr>
            <w:tcW w:w="2268" w:type="dxa"/>
            <w:vAlign w:val="center"/>
          </w:tcPr>
          <w:p>
            <w:pPr>
              <w:widowControl/>
              <w:jc w:val="center"/>
              <w:rPr>
                <w:rFonts w:ascii="宋体" w:hAnsi="宋体" w:cs="宋体"/>
                <w:b/>
                <w:bCs/>
                <w:kern w:val="0"/>
                <w:szCs w:val="21"/>
              </w:rPr>
            </w:pPr>
            <w:r>
              <w:rPr>
                <w:rFonts w:hint="eastAsia" w:ascii="宋体" w:hAnsi="宋体" w:cs="宋体"/>
                <w:b/>
                <w:bCs/>
                <w:kern w:val="0"/>
                <w:szCs w:val="21"/>
              </w:rPr>
              <w:t>教学科目</w:t>
            </w:r>
          </w:p>
        </w:tc>
        <w:tc>
          <w:tcPr>
            <w:tcW w:w="1737" w:type="dxa"/>
            <w:vAlign w:val="center"/>
          </w:tcPr>
          <w:p>
            <w:pPr>
              <w:widowControl/>
              <w:jc w:val="center"/>
              <w:rPr>
                <w:rFonts w:ascii="宋体" w:hAnsi="宋体" w:cs="宋体"/>
                <w:b/>
                <w:bCs/>
                <w:kern w:val="0"/>
                <w:szCs w:val="21"/>
              </w:rPr>
            </w:pPr>
            <w:r>
              <w:rPr>
                <w:rFonts w:hint="eastAsia" w:ascii="宋体" w:hAnsi="宋体" w:cs="宋体"/>
                <w:b/>
                <w:bCs/>
                <w:kern w:val="0"/>
                <w:szCs w:val="21"/>
              </w:rPr>
              <w:t>实验设备</w:t>
            </w:r>
          </w:p>
        </w:tc>
        <w:tc>
          <w:tcPr>
            <w:tcW w:w="2073" w:type="dxa"/>
            <w:vAlign w:val="center"/>
          </w:tcPr>
          <w:p>
            <w:pPr>
              <w:widowControl/>
              <w:jc w:val="center"/>
              <w:rPr>
                <w:rFonts w:ascii="宋体" w:hAnsi="宋体" w:cs="宋体"/>
                <w:b/>
                <w:bCs/>
                <w:kern w:val="0"/>
                <w:szCs w:val="21"/>
              </w:rPr>
            </w:pPr>
            <w:r>
              <w:rPr>
                <w:rFonts w:hint="eastAsia" w:ascii="宋体" w:hAnsi="宋体" w:cs="宋体"/>
                <w:b/>
                <w:bCs/>
                <w:kern w:val="0"/>
                <w:szCs w:val="21"/>
              </w:rPr>
              <w:t>教学项目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1010"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1516" w:type="dxa"/>
            <w:vAlign w:val="center"/>
          </w:tcPr>
          <w:p>
            <w:pPr>
              <w:widowControl/>
              <w:jc w:val="center"/>
              <w:rPr>
                <w:rFonts w:ascii="宋体" w:hAnsi="宋体" w:cs="宋体"/>
                <w:kern w:val="0"/>
                <w:sz w:val="18"/>
                <w:szCs w:val="18"/>
              </w:rPr>
            </w:pPr>
            <w:r>
              <w:rPr>
                <w:rFonts w:hint="eastAsia" w:ascii="宋体" w:hAnsi="宋体" w:cs="宋体"/>
                <w:kern w:val="0"/>
                <w:sz w:val="18"/>
                <w:szCs w:val="18"/>
              </w:rPr>
              <w:t>会计技能实训室</w:t>
            </w:r>
          </w:p>
        </w:tc>
        <w:tc>
          <w:tcPr>
            <w:tcW w:w="708" w:type="dxa"/>
            <w:vAlign w:val="center"/>
          </w:tcPr>
          <w:p>
            <w:pPr>
              <w:widowControl/>
              <w:jc w:val="center"/>
              <w:rPr>
                <w:rFonts w:ascii="宋体" w:hAnsi="宋体" w:cs="宋体"/>
                <w:kern w:val="0"/>
                <w:sz w:val="18"/>
                <w:szCs w:val="18"/>
              </w:rPr>
            </w:pPr>
            <w:r>
              <w:rPr>
                <w:rFonts w:hint="eastAsia" w:ascii="宋体" w:hAnsi="宋体" w:cs="宋体"/>
                <w:kern w:val="0"/>
                <w:sz w:val="18"/>
                <w:szCs w:val="18"/>
              </w:rPr>
              <w:t>荟文3—105</w:t>
            </w:r>
          </w:p>
        </w:tc>
        <w:tc>
          <w:tcPr>
            <w:tcW w:w="2268" w:type="dxa"/>
            <w:vAlign w:val="center"/>
          </w:tcPr>
          <w:p>
            <w:pPr>
              <w:widowControl/>
              <w:jc w:val="center"/>
              <w:rPr>
                <w:rFonts w:ascii="宋体" w:hAnsi="宋体" w:cs="宋体"/>
                <w:kern w:val="0"/>
                <w:sz w:val="18"/>
                <w:szCs w:val="18"/>
              </w:rPr>
            </w:pPr>
            <w:r>
              <w:rPr>
                <w:rFonts w:ascii="宋体" w:hAnsi="宋体" w:cs="宋体"/>
                <w:kern w:val="0"/>
                <w:sz w:val="18"/>
                <w:szCs w:val="18"/>
              </w:rPr>
              <w:t>会计电算化、会计综合实训</w:t>
            </w:r>
          </w:p>
        </w:tc>
        <w:tc>
          <w:tcPr>
            <w:tcW w:w="1737" w:type="dxa"/>
            <w:vAlign w:val="center"/>
          </w:tcPr>
          <w:p>
            <w:pPr>
              <w:widowControl/>
              <w:jc w:val="center"/>
              <w:rPr>
                <w:rFonts w:ascii="宋体" w:hAnsi="宋体" w:cs="宋体"/>
                <w:kern w:val="0"/>
                <w:sz w:val="18"/>
                <w:szCs w:val="18"/>
              </w:rPr>
            </w:pPr>
            <w:r>
              <w:rPr>
                <w:rFonts w:hint="eastAsia" w:ascii="宋体" w:hAnsi="宋体" w:cs="宋体"/>
                <w:kern w:val="0"/>
                <w:sz w:val="18"/>
                <w:szCs w:val="18"/>
              </w:rPr>
              <w:t>硬件：60台电脑，一台一体机</w:t>
            </w:r>
          </w:p>
          <w:p>
            <w:pPr>
              <w:widowControl/>
              <w:jc w:val="center"/>
              <w:rPr>
                <w:rFonts w:ascii="宋体" w:hAnsi="宋体" w:cs="宋体"/>
                <w:kern w:val="0"/>
                <w:sz w:val="18"/>
                <w:szCs w:val="18"/>
              </w:rPr>
            </w:pPr>
            <w:r>
              <w:rPr>
                <w:rFonts w:hint="eastAsia" w:ascii="宋体" w:hAnsi="宋体" w:cs="宋体"/>
                <w:kern w:val="0"/>
                <w:sz w:val="18"/>
                <w:szCs w:val="18"/>
              </w:rPr>
              <w:t>软件：用友U</w:t>
            </w:r>
            <w:r>
              <w:rPr>
                <w:rFonts w:ascii="宋体" w:hAnsi="宋体" w:cs="宋体"/>
                <w:kern w:val="0"/>
                <w:sz w:val="18"/>
                <w:szCs w:val="18"/>
              </w:rPr>
              <w:t xml:space="preserve">8 </w:t>
            </w:r>
          </w:p>
        </w:tc>
        <w:tc>
          <w:tcPr>
            <w:tcW w:w="2073" w:type="dxa"/>
            <w:vAlign w:val="center"/>
          </w:tcPr>
          <w:p>
            <w:pPr>
              <w:widowControl/>
              <w:jc w:val="center"/>
              <w:rPr>
                <w:rFonts w:ascii="宋体" w:hAns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1010" w:type="dxa"/>
            <w:vAlign w:val="center"/>
          </w:tcPr>
          <w:p>
            <w:pPr>
              <w:widowControl/>
              <w:jc w:val="center"/>
              <w:rPr>
                <w:rFonts w:ascii="宋体" w:hAnsi="宋体" w:cs="宋体"/>
                <w:kern w:val="0"/>
                <w:szCs w:val="21"/>
              </w:rPr>
            </w:pPr>
            <w:r>
              <w:rPr>
                <w:rFonts w:ascii="宋体" w:hAnsi="宋体" w:cs="宋体"/>
                <w:kern w:val="0"/>
                <w:szCs w:val="21"/>
              </w:rPr>
              <w:t>2</w:t>
            </w:r>
          </w:p>
        </w:tc>
        <w:tc>
          <w:tcPr>
            <w:tcW w:w="1516" w:type="dxa"/>
            <w:vAlign w:val="center"/>
          </w:tcPr>
          <w:p>
            <w:pPr>
              <w:widowControl/>
              <w:jc w:val="center"/>
              <w:rPr>
                <w:rFonts w:ascii="宋体" w:hAnsi="宋体" w:cs="宋体"/>
                <w:kern w:val="0"/>
                <w:sz w:val="18"/>
                <w:szCs w:val="18"/>
              </w:rPr>
            </w:pPr>
            <w:r>
              <w:rPr>
                <w:rFonts w:hint="eastAsia" w:ascii="宋体" w:hAnsi="宋体" w:cs="宋体"/>
                <w:kern w:val="0"/>
                <w:sz w:val="18"/>
                <w:szCs w:val="18"/>
              </w:rPr>
              <w:t>财务管理综合技能实训室</w:t>
            </w:r>
          </w:p>
        </w:tc>
        <w:tc>
          <w:tcPr>
            <w:tcW w:w="708" w:type="dxa"/>
            <w:vAlign w:val="center"/>
          </w:tcPr>
          <w:p>
            <w:pPr>
              <w:widowControl/>
              <w:jc w:val="center"/>
              <w:rPr>
                <w:rFonts w:ascii="宋体" w:hAnsi="宋体" w:cs="宋体"/>
                <w:kern w:val="0"/>
                <w:sz w:val="18"/>
                <w:szCs w:val="18"/>
              </w:rPr>
            </w:pPr>
            <w:r>
              <w:rPr>
                <w:rFonts w:ascii="宋体" w:hAnsi="宋体" w:cs="宋体"/>
                <w:kern w:val="0"/>
                <w:sz w:val="18"/>
                <w:szCs w:val="18"/>
              </w:rPr>
              <w:t>荟文</w:t>
            </w:r>
            <w:r>
              <w:rPr>
                <w:rFonts w:hint="eastAsia" w:ascii="宋体" w:hAnsi="宋体" w:cs="宋体"/>
                <w:kern w:val="0"/>
                <w:sz w:val="18"/>
                <w:szCs w:val="18"/>
              </w:rPr>
              <w:t>3</w:t>
            </w:r>
            <w:r>
              <w:rPr>
                <w:rFonts w:ascii="宋体" w:hAnsi="宋体" w:cs="宋体"/>
                <w:kern w:val="0"/>
                <w:sz w:val="18"/>
                <w:szCs w:val="18"/>
              </w:rPr>
              <w:t>—105</w:t>
            </w:r>
          </w:p>
        </w:tc>
        <w:tc>
          <w:tcPr>
            <w:tcW w:w="2268" w:type="dxa"/>
            <w:vAlign w:val="center"/>
          </w:tcPr>
          <w:p>
            <w:pPr>
              <w:widowControl/>
              <w:jc w:val="center"/>
              <w:rPr>
                <w:rFonts w:ascii="宋体" w:hAnsi="宋体" w:cs="宋体"/>
                <w:kern w:val="0"/>
                <w:sz w:val="18"/>
                <w:szCs w:val="18"/>
              </w:rPr>
            </w:pPr>
            <w:r>
              <w:rPr>
                <w:rFonts w:ascii="宋体" w:hAnsi="宋体" w:cs="宋体"/>
                <w:kern w:val="0"/>
                <w:sz w:val="18"/>
                <w:szCs w:val="18"/>
              </w:rPr>
              <w:t>E</w:t>
            </w:r>
            <w:r>
              <w:rPr>
                <w:rFonts w:hint="eastAsia" w:ascii="宋体" w:hAnsi="宋体" w:cs="宋体"/>
                <w:kern w:val="0"/>
                <w:sz w:val="18"/>
                <w:szCs w:val="18"/>
              </w:rPr>
              <w:t>xcel在财务中的应用</w:t>
            </w:r>
          </w:p>
        </w:tc>
        <w:tc>
          <w:tcPr>
            <w:tcW w:w="1737" w:type="dxa"/>
            <w:vAlign w:val="center"/>
          </w:tcPr>
          <w:p>
            <w:pPr>
              <w:widowControl/>
              <w:jc w:val="center"/>
              <w:rPr>
                <w:rFonts w:ascii="宋体" w:hAnsi="宋体" w:cs="宋体"/>
                <w:kern w:val="0"/>
                <w:sz w:val="18"/>
                <w:szCs w:val="18"/>
              </w:rPr>
            </w:pPr>
            <w:r>
              <w:rPr>
                <w:rFonts w:hint="eastAsia" w:ascii="宋体" w:hAnsi="宋体" w:cs="宋体"/>
                <w:kern w:val="0"/>
                <w:sz w:val="18"/>
                <w:szCs w:val="18"/>
              </w:rPr>
              <w:t>硬件：60台电脑，一台一体机</w:t>
            </w:r>
          </w:p>
          <w:p>
            <w:pPr>
              <w:widowControl/>
              <w:jc w:val="center"/>
              <w:rPr>
                <w:rFonts w:ascii="宋体" w:hAnsi="宋体" w:cs="宋体"/>
                <w:kern w:val="0"/>
                <w:sz w:val="18"/>
                <w:szCs w:val="18"/>
              </w:rPr>
            </w:pPr>
            <w:r>
              <w:rPr>
                <w:rFonts w:hint="eastAsia" w:ascii="宋体" w:hAnsi="宋体" w:cs="宋体"/>
                <w:kern w:val="0"/>
                <w:sz w:val="18"/>
                <w:szCs w:val="18"/>
              </w:rPr>
              <w:t>软件：office办公软件</w:t>
            </w:r>
          </w:p>
        </w:tc>
        <w:tc>
          <w:tcPr>
            <w:tcW w:w="2073" w:type="dxa"/>
            <w:vAlign w:val="center"/>
          </w:tcPr>
          <w:p>
            <w:pPr>
              <w:widowControl/>
              <w:jc w:val="center"/>
              <w:rPr>
                <w:rFonts w:ascii="宋体" w:hAnsi="宋体" w:cs="宋体"/>
                <w:kern w:val="0"/>
                <w:sz w:val="18"/>
                <w:szCs w:val="18"/>
              </w:rPr>
            </w:pPr>
          </w:p>
        </w:tc>
      </w:tr>
    </w:tbl>
    <w:p>
      <w:pPr>
        <w:spacing w:line="360" w:lineRule="auto"/>
        <w:outlineLvl w:val="0"/>
        <w:rPr>
          <w:position w:val="6"/>
        </w:rPr>
      </w:pPr>
    </w:p>
    <w:p>
      <w:pPr>
        <w:spacing w:line="360" w:lineRule="auto"/>
        <w:ind w:firstLine="422" w:firstLineChars="200"/>
        <w:outlineLvl w:val="0"/>
        <w:rPr>
          <w:rStyle w:val="8"/>
          <w:rFonts w:ascii="宋体" w:hAnsi="宋体"/>
          <w:szCs w:val="21"/>
        </w:rPr>
      </w:pPr>
      <w:r>
        <w:rPr>
          <w:rStyle w:val="8"/>
          <w:rFonts w:hint="eastAsia" w:ascii="宋体" w:hAnsi="宋体"/>
          <w:szCs w:val="21"/>
        </w:rPr>
        <w:t>（三）教学资源</w:t>
      </w:r>
    </w:p>
    <w:p>
      <w:pPr>
        <w:spacing w:line="360" w:lineRule="auto"/>
        <w:outlineLvl w:val="0"/>
        <w:rPr>
          <w:bCs/>
          <w:color w:val="000000" w:themeColor="text1"/>
          <w14:textFill>
            <w14:solidFill>
              <w14:schemeClr w14:val="tx1"/>
            </w14:solidFill>
          </w14:textFill>
        </w:rPr>
      </w:pPr>
      <w:r>
        <w:rPr>
          <w:rStyle w:val="8"/>
          <w:rFonts w:ascii="宋体" w:hAnsi="宋体"/>
          <w:szCs w:val="21"/>
        </w:rPr>
        <w:t xml:space="preserve">    </w:t>
      </w:r>
      <w:r>
        <w:rPr>
          <w:rFonts w:hint="eastAsia"/>
          <w:bCs/>
          <w:color w:val="000000" w:themeColor="text1"/>
          <w14:textFill>
            <w14:solidFill>
              <w14:schemeClr w14:val="tx1"/>
            </w14:solidFill>
          </w14:textFill>
        </w:rPr>
        <w:t>1</w:t>
      </w:r>
      <w:r>
        <w:rPr>
          <w:bCs/>
          <w:color w:val="000000" w:themeColor="text1"/>
          <w14:textFill>
            <w14:solidFill>
              <w14:schemeClr w14:val="tx1"/>
            </w14:solidFill>
          </w14:textFill>
        </w:rPr>
        <w:t>.</w:t>
      </w:r>
      <w:r>
        <w:rPr>
          <w:rFonts w:hint="eastAsia"/>
          <w:bCs/>
          <w:color w:val="000000" w:themeColor="text1"/>
          <w14:textFill>
            <w14:solidFill>
              <w14:schemeClr w14:val="tx1"/>
            </w14:solidFill>
          </w14:textFill>
        </w:rPr>
        <w:t>图书和数字资源配备。</w:t>
      </w:r>
    </w:p>
    <w:p>
      <w:pPr>
        <w:spacing w:line="360" w:lineRule="auto"/>
        <w:ind w:firstLine="420" w:firstLineChars="200"/>
        <w:outlineLvl w:val="0"/>
        <w:rPr>
          <w:bCs/>
          <w:color w:val="000000" w:themeColor="text1"/>
          <w14:textFill>
            <w14:solidFill>
              <w14:schemeClr w14:val="tx1"/>
            </w14:solidFill>
          </w14:textFill>
        </w:rPr>
      </w:pPr>
      <w:r>
        <w:rPr>
          <w:rFonts w:hint="eastAsia"/>
          <w:bCs/>
          <w:color w:val="000000" w:themeColor="text1"/>
          <w14:textFill>
            <w14:solidFill>
              <w14:schemeClr w14:val="tx1"/>
            </w14:solidFill>
          </w14:textFill>
        </w:rPr>
        <w:t>图书馆根据学校学科专业设置的要求，努力建设以师范特色为主，多学科协调发展的馆藏体系，馆藏图书共有51.5万册；电子图书10余万册；过刊2万册；现刊120种；报纸90种。面向全院师生开通了中国知网数据库、超星电子图书数据库等。并在图书馆一楼门厅放置了电子书阅读器供读者阅读下载超星电子图书，为师生、企业提供优质专业教学资源和网络信息资源。核心课程有可供学生自主学习的网络平台，包含课程标准，实践教学大纲，实训指导书，教案，多媒体课件，教学视频，习题库，测试题或试题库，参考书目等教学资源。数字化教学资源方面除电子图书、在线课程之外，另购置有专业数字化资源以及仿真教学软件等，信息化程度在持续提升中。图书配备有关基本要求：有足够数量的，能满足教师学习、教师专业教学研究和教学实施的图书库。</w:t>
      </w:r>
    </w:p>
    <w:p>
      <w:pPr>
        <w:spacing w:line="360" w:lineRule="auto"/>
        <w:ind w:firstLine="420" w:firstLineChars="200"/>
        <w:outlineLvl w:val="0"/>
        <w:rPr>
          <w:bCs/>
          <w:color w:val="000000" w:themeColor="text1"/>
          <w14:textFill>
            <w14:solidFill>
              <w14:schemeClr w14:val="tx1"/>
            </w14:solidFill>
          </w14:textFill>
        </w:rPr>
      </w:pPr>
      <w:r>
        <w:rPr>
          <w:rFonts w:hint="eastAsia"/>
          <w:bCs/>
          <w:color w:val="000000" w:themeColor="text1"/>
          <w14:textFill>
            <w14:solidFill>
              <w14:schemeClr w14:val="tx1"/>
            </w14:solidFill>
          </w14:textFill>
        </w:rPr>
        <w:t>2</w:t>
      </w:r>
      <w:r>
        <w:rPr>
          <w:bCs/>
          <w:color w:val="000000" w:themeColor="text1"/>
          <w14:textFill>
            <w14:solidFill>
              <w14:schemeClr w14:val="tx1"/>
            </w14:solidFill>
          </w14:textFill>
        </w:rPr>
        <w:t>.</w:t>
      </w:r>
      <w:r>
        <w:rPr>
          <w:rFonts w:hint="eastAsia"/>
          <w:bCs/>
          <w:color w:val="000000" w:themeColor="text1"/>
          <w14:textFill>
            <w14:solidFill>
              <w14:schemeClr w14:val="tx1"/>
            </w14:solidFill>
          </w14:textFill>
        </w:rPr>
        <w:t>多媒体教学设备</w:t>
      </w:r>
    </w:p>
    <w:p>
      <w:pPr>
        <w:spacing w:line="360" w:lineRule="auto"/>
        <w:ind w:firstLine="420" w:firstLineChars="200"/>
        <w:outlineLvl w:val="0"/>
        <w:rPr>
          <w:bCs/>
          <w:color w:val="000000" w:themeColor="text1"/>
          <w14:textFill>
            <w14:solidFill>
              <w14:schemeClr w14:val="tx1"/>
            </w14:solidFill>
          </w14:textFill>
        </w:rPr>
      </w:pPr>
      <w:r>
        <w:rPr>
          <w:rFonts w:hint="eastAsia"/>
          <w:bCs/>
          <w:color w:val="000000" w:themeColor="text1"/>
          <w14:textFill>
            <w14:solidFill>
              <w14:schemeClr w14:val="tx1"/>
            </w14:solidFill>
          </w14:textFill>
        </w:rPr>
        <w:t>教师通过教学软件以及多媒体设备等，充分利用手工实验室、会计电算化实验室的设施进行教学。教师和学生每人拥有一台计算机，通过教师机可以看到学生机的操作内容（学生演示、屏幕监视等），可以更好地掌握学生的情况。</w:t>
      </w:r>
    </w:p>
    <w:p>
      <w:pPr>
        <w:spacing w:line="360" w:lineRule="auto"/>
        <w:ind w:firstLine="420" w:firstLineChars="200"/>
        <w:outlineLvl w:val="0"/>
        <w:rPr>
          <w:bCs/>
          <w:color w:val="000000" w:themeColor="text1"/>
          <w14:textFill>
            <w14:solidFill>
              <w14:schemeClr w14:val="tx1"/>
            </w14:solidFill>
          </w14:textFill>
        </w:rPr>
      </w:pPr>
      <w:r>
        <w:rPr>
          <w:rFonts w:hint="eastAsia"/>
          <w:bCs/>
          <w:color w:val="000000" w:themeColor="text1"/>
          <w14:textFill>
            <w14:solidFill>
              <w14:schemeClr w14:val="tx1"/>
            </w14:solidFill>
          </w14:textFill>
        </w:rPr>
        <w:t>3</w:t>
      </w:r>
      <w:r>
        <w:rPr>
          <w:bCs/>
          <w:color w:val="000000" w:themeColor="text1"/>
          <w14:textFill>
            <w14:solidFill>
              <w14:schemeClr w14:val="tx1"/>
            </w14:solidFill>
          </w14:textFill>
        </w:rPr>
        <w:t>.</w:t>
      </w:r>
      <w:r>
        <w:rPr>
          <w:rFonts w:hint="eastAsia"/>
          <w:bCs/>
          <w:color w:val="000000" w:themeColor="text1"/>
          <w14:textFill>
            <w14:solidFill>
              <w14:schemeClr w14:val="tx1"/>
            </w14:solidFill>
          </w14:textFill>
        </w:rPr>
        <w:t>网络课程资源</w:t>
      </w:r>
    </w:p>
    <w:p>
      <w:pPr>
        <w:spacing w:line="360" w:lineRule="auto"/>
        <w:ind w:firstLine="420" w:firstLineChars="200"/>
        <w:outlineLvl w:val="0"/>
        <w:rPr>
          <w:bCs/>
          <w:color w:val="000000" w:themeColor="text1"/>
          <w14:textFill>
            <w14:solidFill>
              <w14:schemeClr w14:val="tx1"/>
            </w14:solidFill>
          </w14:textFill>
        </w:rPr>
      </w:pPr>
      <w:r>
        <w:rPr>
          <w:rFonts w:hint="eastAsia"/>
          <w:bCs/>
          <w:color w:val="000000" w:themeColor="text1"/>
          <w14:textFill>
            <w14:solidFill>
              <w14:schemeClr w14:val="tx1"/>
            </w14:solidFill>
          </w14:textFill>
        </w:rPr>
        <w:t>可以利用现有的电子书籍、电子期刊、数学图书馆、各大网站等网络资源,使教学内容从单一走向多元，使学生的知识和能力的拓展成为可能。</w:t>
      </w:r>
    </w:p>
    <w:p>
      <w:pPr>
        <w:spacing w:line="360" w:lineRule="auto"/>
        <w:ind w:firstLine="420" w:firstLineChars="200"/>
        <w:outlineLvl w:val="0"/>
        <w:rPr>
          <w:bCs/>
          <w:color w:val="000000" w:themeColor="text1"/>
          <w14:textFill>
            <w14:solidFill>
              <w14:schemeClr w14:val="tx1"/>
            </w14:solidFill>
          </w14:textFill>
        </w:rPr>
      </w:pPr>
      <w:r>
        <w:rPr>
          <w:rFonts w:hint="eastAsia"/>
          <w:bCs/>
          <w:color w:val="000000" w:themeColor="text1"/>
          <w14:textFill>
            <w14:solidFill>
              <w14:schemeClr w14:val="tx1"/>
            </w14:solidFill>
          </w14:textFill>
        </w:rPr>
        <w:t>4</w:t>
      </w:r>
      <w:r>
        <w:rPr>
          <w:bCs/>
          <w:color w:val="000000" w:themeColor="text1"/>
          <w14:textFill>
            <w14:solidFill>
              <w14:schemeClr w14:val="tx1"/>
            </w14:solidFill>
          </w14:textFill>
        </w:rPr>
        <w:t>.</w:t>
      </w:r>
      <w:r>
        <w:rPr>
          <w:rFonts w:hint="eastAsia"/>
          <w:bCs/>
          <w:color w:val="000000" w:themeColor="text1"/>
          <w14:textFill>
            <w14:solidFill>
              <w14:schemeClr w14:val="tx1"/>
            </w14:solidFill>
          </w14:textFill>
        </w:rPr>
        <w:t>开发和利用外校实训基地。</w:t>
      </w:r>
    </w:p>
    <w:p>
      <w:pPr>
        <w:spacing w:line="360" w:lineRule="auto"/>
        <w:ind w:firstLine="420" w:firstLineChars="200"/>
        <w:outlineLvl w:val="0"/>
        <w:rPr>
          <w:bCs/>
          <w:color w:val="000000" w:themeColor="text1"/>
          <w14:textFill>
            <w14:solidFill>
              <w14:schemeClr w14:val="tx1"/>
            </w14:solidFill>
          </w14:textFill>
        </w:rPr>
      </w:pPr>
      <w:r>
        <w:rPr>
          <w:rFonts w:hint="eastAsia"/>
          <w:bCs/>
          <w:color w:val="000000" w:themeColor="text1"/>
          <w14:textFill>
            <w14:solidFill>
              <w14:schemeClr w14:val="tx1"/>
            </w14:solidFill>
          </w14:textFill>
        </w:rPr>
        <w:t>本课程属于实践性较强的专业基础课程，培养学生处理财务管理业务的思维和实际动手能力是本课程的核心目标。因此有一个真实或仿真的操作环境是本课程教学的一个必要条件，学院在不断开发和完善校内实训基地的同时，需要充分利用校外实习基地的培训资源，让学生在真实的环境中理解业务，熟悉真实的业务流程，为学生毕业即可上岗的零过渡做好铺垫。</w:t>
      </w:r>
    </w:p>
    <w:p>
      <w:pPr>
        <w:spacing w:line="360" w:lineRule="auto"/>
        <w:ind w:firstLine="422" w:firstLineChars="200"/>
        <w:outlineLvl w:val="0"/>
        <w:rPr>
          <w:rFonts w:ascii="宋体" w:hAnsi="宋体"/>
          <w:b/>
          <w:szCs w:val="21"/>
        </w:rPr>
      </w:pPr>
      <w:r>
        <w:rPr>
          <w:rFonts w:hint="eastAsia" w:ascii="宋体" w:hAnsi="宋体"/>
          <w:b/>
          <w:szCs w:val="21"/>
        </w:rPr>
        <w:t>九、质量保障</w:t>
      </w:r>
    </w:p>
    <w:p>
      <w:pPr>
        <w:spacing w:line="400" w:lineRule="exact"/>
        <w:ind w:firstLine="421"/>
        <w:rPr>
          <w:rFonts w:ascii="宋体" w:hAnsi="宋体"/>
          <w:bCs/>
          <w:szCs w:val="21"/>
        </w:rPr>
      </w:pPr>
      <w:r>
        <w:rPr>
          <w:rFonts w:hint="eastAsia" w:ascii="宋体" w:hAnsi="宋体"/>
          <w:bCs/>
          <w:szCs w:val="21"/>
        </w:rPr>
        <w:t>（一）需遵循专业建设和教学过程质量监控机制，主要课程以结合课堂提问、训练活动、阶段测验等进行课程评价，对教学主要环节要有严格的质量要求和标准，对教学实施、过程监控、质量评价要进行有效的管理，以达成人才培养规格。</w:t>
      </w:r>
    </w:p>
    <w:p>
      <w:pPr>
        <w:spacing w:line="400" w:lineRule="exact"/>
        <w:ind w:firstLine="421"/>
        <w:rPr>
          <w:rFonts w:ascii="宋体" w:hAnsi="宋体"/>
          <w:szCs w:val="21"/>
        </w:rPr>
      </w:pPr>
      <w:r>
        <w:rPr>
          <w:rFonts w:hint="eastAsia" w:ascii="宋体" w:hAnsi="宋体"/>
          <w:szCs w:val="21"/>
        </w:rPr>
        <w:t>本专业尝试“学分替换”制改革。所谓“学分替换”制，是指学生可以通过参与实际项目开发、相关竞赛等方式来替换非核心课程的学分。学生可以通过参加考证、项目开发、职业技能大赛、发明创造等来获取并替换课程学分，从而可以申请免修相关的课程。“学分替换”的实施需要预先申请，需根据比赛及项目的内容而确定可替换哪门课程，在经过专业考核通过之后，方可免修并替换相关课程学分。总替换学分不超过15学分。</w:t>
      </w:r>
    </w:p>
    <w:p>
      <w:pPr>
        <w:spacing w:line="400" w:lineRule="exact"/>
        <w:ind w:firstLine="421"/>
        <w:rPr>
          <w:rFonts w:ascii="宋体" w:hAnsi="宋体"/>
          <w:szCs w:val="21"/>
        </w:rPr>
      </w:pPr>
      <w:r>
        <w:rPr>
          <w:rFonts w:hint="eastAsia" w:ascii="宋体" w:hAnsi="宋体"/>
          <w:szCs w:val="21"/>
        </w:rPr>
        <w:t>其中，学分替换规则如下表所示：</w:t>
      </w:r>
    </w:p>
    <w:tbl>
      <w:tblPr>
        <w:tblStyle w:val="6"/>
        <w:tblW w:w="949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160"/>
        <w:gridCol w:w="62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40" w:type="dxa"/>
            <w:gridSpan w:val="2"/>
          </w:tcPr>
          <w:p>
            <w:pPr>
              <w:spacing w:line="360" w:lineRule="auto"/>
              <w:jc w:val="center"/>
              <w:rPr>
                <w:rFonts w:ascii="宋体" w:hAnsi="宋体"/>
                <w:szCs w:val="21"/>
              </w:rPr>
            </w:pPr>
            <w:r>
              <w:rPr>
                <w:rFonts w:hint="eastAsia" w:ascii="宋体" w:hAnsi="宋体"/>
                <w:szCs w:val="21"/>
              </w:rPr>
              <w:t>类别</w:t>
            </w:r>
          </w:p>
        </w:tc>
        <w:tc>
          <w:tcPr>
            <w:tcW w:w="6258" w:type="dxa"/>
          </w:tcPr>
          <w:p>
            <w:pPr>
              <w:spacing w:line="360" w:lineRule="auto"/>
              <w:jc w:val="center"/>
              <w:rPr>
                <w:rFonts w:ascii="宋体" w:hAnsi="宋体"/>
                <w:szCs w:val="21"/>
              </w:rPr>
            </w:pPr>
            <w:r>
              <w:rPr>
                <w:rFonts w:hint="eastAsia" w:ascii="宋体" w:hAnsi="宋体"/>
                <w:szCs w:val="21"/>
              </w:rPr>
              <w:t>可替换学分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restart"/>
          </w:tcPr>
          <w:p>
            <w:pPr>
              <w:rPr>
                <w:rFonts w:ascii="宋体" w:hAnsi="宋体"/>
                <w:sz w:val="18"/>
                <w:szCs w:val="18"/>
              </w:rPr>
            </w:pPr>
            <w:r>
              <w:rPr>
                <w:rFonts w:hint="eastAsia" w:ascii="宋体" w:hAnsi="宋体"/>
                <w:sz w:val="18"/>
                <w:szCs w:val="18"/>
              </w:rPr>
              <w:t>技能竞赛类</w:t>
            </w:r>
          </w:p>
        </w:tc>
        <w:tc>
          <w:tcPr>
            <w:tcW w:w="2160" w:type="dxa"/>
          </w:tcPr>
          <w:p>
            <w:pPr>
              <w:rPr>
                <w:rFonts w:ascii="宋体" w:hAnsi="宋体"/>
                <w:sz w:val="18"/>
                <w:szCs w:val="18"/>
              </w:rPr>
            </w:pPr>
            <w:r>
              <w:rPr>
                <w:rFonts w:hint="eastAsia" w:ascii="宋体" w:hAnsi="宋体"/>
                <w:sz w:val="18"/>
                <w:szCs w:val="18"/>
              </w:rPr>
              <w:t>教育行政主管部门组织的竞赛</w:t>
            </w:r>
          </w:p>
        </w:tc>
        <w:tc>
          <w:tcPr>
            <w:tcW w:w="6258" w:type="dxa"/>
          </w:tcPr>
          <w:p>
            <w:pPr>
              <w:rPr>
                <w:rFonts w:ascii="宋体" w:hAnsi="宋体"/>
                <w:sz w:val="18"/>
                <w:szCs w:val="18"/>
              </w:rPr>
            </w:pPr>
            <w:r>
              <w:rPr>
                <w:rFonts w:hint="eastAsia" w:ascii="宋体" w:hAnsi="宋体"/>
                <w:sz w:val="18"/>
                <w:szCs w:val="18"/>
              </w:rPr>
              <w:t>市级三等奖、二等奖、一等奖、特等奖可分别替换0.5学分、1学分、2学分、3学分；省级优秀奖、三等奖、二等奖、一等奖、特等奖可分别替换2学分、3学分、4学分、5学分、6学分；国家级优秀奖、三等奖、二等奖、一等奖、特等奖可分别替换5学分、6学分、7学分、8学分、9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80" w:type="dxa"/>
            <w:vMerge w:val="continue"/>
          </w:tcPr>
          <w:p>
            <w:pPr>
              <w:rPr>
                <w:rFonts w:ascii="宋体" w:hAnsi="宋体"/>
                <w:sz w:val="18"/>
                <w:szCs w:val="18"/>
              </w:rPr>
            </w:pPr>
          </w:p>
        </w:tc>
        <w:tc>
          <w:tcPr>
            <w:tcW w:w="2160" w:type="dxa"/>
          </w:tcPr>
          <w:p>
            <w:pPr>
              <w:rPr>
                <w:rFonts w:ascii="宋体" w:hAnsi="宋体"/>
                <w:sz w:val="18"/>
                <w:szCs w:val="18"/>
              </w:rPr>
            </w:pPr>
            <w:r>
              <w:rPr>
                <w:rFonts w:hint="eastAsia" w:ascii="宋体" w:hAnsi="宋体"/>
                <w:sz w:val="18"/>
                <w:szCs w:val="18"/>
              </w:rPr>
              <w:t>其他行业协会或社会组织的竞赛</w:t>
            </w:r>
          </w:p>
        </w:tc>
        <w:tc>
          <w:tcPr>
            <w:tcW w:w="6258" w:type="dxa"/>
          </w:tcPr>
          <w:p>
            <w:pPr>
              <w:rPr>
                <w:rFonts w:ascii="宋体" w:hAnsi="宋体"/>
                <w:sz w:val="18"/>
                <w:szCs w:val="18"/>
              </w:rPr>
            </w:pPr>
            <w:r>
              <w:rPr>
                <w:rFonts w:hint="eastAsia" w:ascii="宋体" w:hAnsi="宋体"/>
                <w:sz w:val="18"/>
                <w:szCs w:val="18"/>
              </w:rPr>
              <w:t>市级一等奖、特等奖可分别替换0.5学分、1学分；省级优秀奖、三等奖、二等奖、一等奖、特等奖可分别替换1学分、2学分、3学分、4学分、5学分；国家级优秀奖、三等奖、二等奖、一等奖、特等奖可分别替换4学分、5学分、6学分、7学分、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80" w:type="dxa"/>
            <w:vMerge w:val="continue"/>
          </w:tcPr>
          <w:p>
            <w:pPr>
              <w:rPr>
                <w:rFonts w:ascii="宋体" w:hAnsi="宋体"/>
                <w:sz w:val="18"/>
                <w:szCs w:val="18"/>
              </w:rPr>
            </w:pPr>
          </w:p>
        </w:tc>
        <w:tc>
          <w:tcPr>
            <w:tcW w:w="2160" w:type="dxa"/>
          </w:tcPr>
          <w:p>
            <w:pPr>
              <w:rPr>
                <w:rFonts w:ascii="宋体" w:hAnsi="宋体"/>
                <w:sz w:val="18"/>
                <w:szCs w:val="18"/>
              </w:rPr>
            </w:pPr>
            <w:r>
              <w:rPr>
                <w:rFonts w:hint="eastAsia" w:ascii="宋体" w:hAnsi="宋体"/>
                <w:sz w:val="18"/>
                <w:szCs w:val="18"/>
              </w:rPr>
              <w:t>校级竞赛</w:t>
            </w:r>
          </w:p>
        </w:tc>
        <w:tc>
          <w:tcPr>
            <w:tcW w:w="6258" w:type="dxa"/>
          </w:tcPr>
          <w:p>
            <w:pPr>
              <w:rPr>
                <w:rFonts w:ascii="宋体" w:hAnsi="宋体"/>
                <w:sz w:val="18"/>
                <w:szCs w:val="18"/>
              </w:rPr>
            </w:pPr>
            <w:r>
              <w:rPr>
                <w:rFonts w:hint="eastAsia" w:ascii="宋体" w:hAnsi="宋体"/>
                <w:sz w:val="18"/>
                <w:szCs w:val="18"/>
              </w:rPr>
              <w:t>校级技能竞赛一等奖以上可替换0.5学分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restart"/>
          </w:tcPr>
          <w:p>
            <w:pPr>
              <w:rPr>
                <w:rFonts w:ascii="宋体" w:hAnsi="宋体"/>
                <w:sz w:val="18"/>
                <w:szCs w:val="18"/>
              </w:rPr>
            </w:pPr>
            <w:r>
              <w:rPr>
                <w:rFonts w:hint="eastAsia" w:ascii="宋体" w:hAnsi="宋体"/>
                <w:sz w:val="18"/>
                <w:szCs w:val="18"/>
              </w:rPr>
              <w:t>项目开发类</w:t>
            </w:r>
          </w:p>
        </w:tc>
        <w:tc>
          <w:tcPr>
            <w:tcW w:w="2160" w:type="dxa"/>
          </w:tcPr>
          <w:p>
            <w:pPr>
              <w:rPr>
                <w:rFonts w:ascii="宋体" w:hAnsi="宋体"/>
                <w:sz w:val="18"/>
                <w:szCs w:val="18"/>
              </w:rPr>
            </w:pPr>
            <w:r>
              <w:rPr>
                <w:rFonts w:hint="eastAsia" w:ascii="宋体" w:hAnsi="宋体"/>
                <w:sz w:val="18"/>
                <w:szCs w:val="18"/>
              </w:rPr>
              <w:t>自主实施的项目开发</w:t>
            </w:r>
          </w:p>
        </w:tc>
        <w:tc>
          <w:tcPr>
            <w:tcW w:w="6258" w:type="dxa"/>
          </w:tcPr>
          <w:p>
            <w:pPr>
              <w:rPr>
                <w:rFonts w:ascii="宋体" w:hAnsi="宋体"/>
                <w:sz w:val="18"/>
                <w:szCs w:val="18"/>
              </w:rPr>
            </w:pPr>
            <w:r>
              <w:rPr>
                <w:rFonts w:hint="eastAsia" w:ascii="宋体" w:hAnsi="宋体"/>
                <w:sz w:val="18"/>
                <w:szCs w:val="18"/>
              </w:rPr>
              <w:t>提供合作企业证明文件、工商登记证明等有效证明文件由专业负责人认定可替换学分,每学期累计不得超过8学分。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rPr>
                <w:rFonts w:ascii="宋体" w:hAnsi="宋体"/>
                <w:sz w:val="18"/>
                <w:szCs w:val="18"/>
              </w:rPr>
            </w:pPr>
          </w:p>
        </w:tc>
        <w:tc>
          <w:tcPr>
            <w:tcW w:w="2160" w:type="dxa"/>
          </w:tcPr>
          <w:p>
            <w:pPr>
              <w:rPr>
                <w:rFonts w:ascii="宋体" w:hAnsi="宋体"/>
                <w:sz w:val="18"/>
                <w:szCs w:val="18"/>
              </w:rPr>
            </w:pPr>
            <w:r>
              <w:rPr>
                <w:rFonts w:hint="eastAsia" w:ascii="宋体" w:hAnsi="宋体"/>
                <w:sz w:val="18"/>
                <w:szCs w:val="18"/>
              </w:rPr>
              <w:t>参与老师组织的项目开发</w:t>
            </w:r>
          </w:p>
        </w:tc>
        <w:tc>
          <w:tcPr>
            <w:tcW w:w="6258" w:type="dxa"/>
          </w:tcPr>
          <w:p>
            <w:pPr>
              <w:rPr>
                <w:rFonts w:ascii="宋体" w:hAnsi="宋体"/>
                <w:sz w:val="18"/>
                <w:szCs w:val="18"/>
              </w:rPr>
            </w:pPr>
            <w:r>
              <w:rPr>
                <w:rFonts w:hint="eastAsia" w:ascii="宋体" w:hAnsi="宋体"/>
                <w:sz w:val="18"/>
                <w:szCs w:val="18"/>
              </w:rPr>
              <w:t>参与老师组织的项目开发，由专业负责人和项目主持老师认定可替换学分，原则上参加2周替换1学分。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tcPr>
          <w:p>
            <w:pPr>
              <w:rPr>
                <w:rFonts w:ascii="宋体" w:hAnsi="宋体"/>
                <w:sz w:val="18"/>
                <w:szCs w:val="18"/>
              </w:rPr>
            </w:pPr>
            <w:r>
              <w:rPr>
                <w:rFonts w:hint="eastAsia" w:ascii="宋体" w:hAnsi="宋体"/>
                <w:szCs w:val="21"/>
              </w:rPr>
              <w:t>职业资格证书类</w:t>
            </w:r>
          </w:p>
        </w:tc>
        <w:tc>
          <w:tcPr>
            <w:tcW w:w="2160" w:type="dxa"/>
          </w:tcPr>
          <w:p>
            <w:pPr>
              <w:rPr>
                <w:rFonts w:ascii="宋体" w:hAnsi="宋体"/>
                <w:sz w:val="18"/>
                <w:szCs w:val="18"/>
              </w:rPr>
            </w:pPr>
            <w:r>
              <w:rPr>
                <w:rFonts w:hint="eastAsia" w:ascii="宋体" w:hAnsi="宋体"/>
                <w:szCs w:val="21"/>
              </w:rPr>
              <w:t>初级会计职业资格证书</w:t>
            </w:r>
          </w:p>
        </w:tc>
        <w:tc>
          <w:tcPr>
            <w:tcW w:w="6258" w:type="dxa"/>
          </w:tcPr>
          <w:p>
            <w:pPr>
              <w:rPr>
                <w:rFonts w:ascii="宋体" w:hAnsi="宋体"/>
                <w:sz w:val="18"/>
                <w:szCs w:val="18"/>
              </w:rPr>
            </w:pPr>
            <w:r>
              <w:rPr>
                <w:rFonts w:hint="eastAsia" w:ascii="宋体" w:hAnsi="宋体"/>
                <w:szCs w:val="21"/>
              </w:rPr>
              <w:t>取得可替换2学分</w:t>
            </w:r>
          </w:p>
        </w:tc>
      </w:tr>
    </w:tbl>
    <w:p>
      <w:pPr>
        <w:spacing w:line="400" w:lineRule="exact"/>
        <w:rPr>
          <w:rFonts w:ascii="宋体" w:hAnsi="宋体"/>
          <w:szCs w:val="21"/>
        </w:rPr>
      </w:pPr>
    </w:p>
    <w:p>
      <w:pPr>
        <w:spacing w:line="400" w:lineRule="exact"/>
        <w:ind w:firstLine="421"/>
        <w:rPr>
          <w:rFonts w:ascii="宋体" w:hAnsi="宋体"/>
          <w:bCs/>
          <w:szCs w:val="21"/>
        </w:rPr>
      </w:pPr>
      <w:r>
        <w:rPr>
          <w:rFonts w:hint="eastAsia" w:ascii="宋体" w:hAnsi="宋体"/>
          <w:bCs/>
          <w:szCs w:val="21"/>
        </w:rPr>
        <w:t>（二）建立健全巡课和听课制度，严明教学纪律和课堂纪律，对日常教学组织加强管理。</w:t>
      </w:r>
    </w:p>
    <w:p>
      <w:pPr>
        <w:spacing w:line="400" w:lineRule="exact"/>
        <w:ind w:firstLine="421"/>
        <w:rPr>
          <w:rFonts w:ascii="宋体" w:hAnsi="宋体"/>
          <w:bCs/>
          <w:szCs w:val="21"/>
        </w:rPr>
      </w:pPr>
      <w:r>
        <w:rPr>
          <w:rFonts w:hint="eastAsia" w:ascii="宋体" w:hAnsi="宋体"/>
          <w:bCs/>
          <w:szCs w:val="21"/>
        </w:rPr>
        <w:t>（三）建立毕业生跟踪反馈机制和社会评价机制，定期评价人才培养质量和培养目标的达成情况。</w:t>
      </w:r>
    </w:p>
    <w:p>
      <w:pPr>
        <w:adjustRightInd w:val="0"/>
        <w:snapToGrid w:val="0"/>
        <w:spacing w:before="156" w:beforeLines="50" w:line="360" w:lineRule="auto"/>
        <w:rPr>
          <w:rFonts w:ascii="宋体" w:hAnsi="宋体"/>
          <w:b/>
          <w:bCs/>
          <w:szCs w:val="21"/>
        </w:rPr>
      </w:pPr>
      <w:r>
        <w:rPr>
          <w:rFonts w:hint="eastAsia" w:ascii="宋体" w:hAnsi="宋体"/>
          <w:bCs/>
          <w:szCs w:val="21"/>
        </w:rPr>
        <w:t xml:space="preserve">    （四）要充分利用评价分析结构有效改进专业教学，加强专业建设，持续提高人才培养质量。</w:t>
      </w:r>
    </w:p>
    <w:p>
      <w:pPr>
        <w:spacing w:line="360" w:lineRule="exact"/>
        <w:outlineLvl w:val="0"/>
        <w:rPr>
          <w:rFonts w:ascii="仿宋_GB2312"/>
        </w:rPr>
      </w:pPr>
      <w:r>
        <w:rPr>
          <w:rFonts w:hint="eastAsia" w:ascii="宋体" w:hAnsi="宋体" w:cs="宋体"/>
          <w:b/>
        </w:rPr>
        <w:t>十、教学进程安排</w:t>
      </w:r>
    </w:p>
    <w:p>
      <w:pPr>
        <w:outlineLvl w:val="0"/>
        <w:rPr>
          <w:rFonts w:ascii="宋体" w:hAnsi="宋体"/>
          <w:szCs w:val="21"/>
        </w:rPr>
      </w:pPr>
      <w:r>
        <w:rPr>
          <w:rFonts w:hint="eastAsia" w:ascii="宋体" w:hAnsi="宋体"/>
          <w:b/>
          <w:szCs w:val="21"/>
        </w:rPr>
        <w:t xml:space="preserve">       </w:t>
      </w:r>
      <w:r>
        <w:rPr>
          <w:rFonts w:ascii="宋体" w:hAnsi="宋体"/>
          <w:szCs w:val="21"/>
        </w:rPr>
        <w:t>1.</w:t>
      </w:r>
      <w:r>
        <w:rPr>
          <w:rFonts w:hint="eastAsia" w:ascii="宋体" w:hAnsi="宋体"/>
          <w:szCs w:val="21"/>
        </w:rPr>
        <w:t>理论与实践教学分配及比例表（见附件1－1）</w:t>
      </w:r>
    </w:p>
    <w:p>
      <w:pPr>
        <w:ind w:firstLine="735" w:firstLineChars="350"/>
        <w:outlineLvl w:val="0"/>
        <w:rPr>
          <w:rFonts w:ascii="宋体" w:hAnsi="宋体"/>
          <w:szCs w:val="21"/>
        </w:rPr>
      </w:pPr>
      <w:r>
        <w:rPr>
          <w:rFonts w:hint="eastAsia" w:ascii="宋体" w:hAnsi="宋体"/>
          <w:szCs w:val="21"/>
        </w:rPr>
        <w:t>2.综合素质课教学进程表（见附件1－2）</w:t>
      </w:r>
    </w:p>
    <w:p>
      <w:pPr>
        <w:ind w:firstLine="735" w:firstLineChars="350"/>
        <w:outlineLvl w:val="0"/>
        <w:rPr>
          <w:rFonts w:ascii="宋体" w:hAnsi="宋体"/>
          <w:szCs w:val="21"/>
        </w:rPr>
      </w:pPr>
      <w:r>
        <w:rPr>
          <w:rFonts w:hint="eastAsia" w:ascii="宋体" w:hAnsi="宋体"/>
          <w:szCs w:val="21"/>
        </w:rPr>
        <w:t>3.专业课教学进程表（见附件1－3）</w:t>
      </w:r>
    </w:p>
    <w:p>
      <w:pPr>
        <w:adjustRightInd w:val="0"/>
        <w:snapToGrid w:val="0"/>
        <w:spacing w:line="360" w:lineRule="auto"/>
        <w:ind w:firstLine="735" w:firstLineChars="350"/>
        <w:rPr>
          <w:rFonts w:ascii="宋体" w:hAnsi="宋体"/>
          <w:b/>
          <w:bCs/>
          <w:szCs w:val="21"/>
        </w:rPr>
      </w:pPr>
      <w:r>
        <w:rPr>
          <w:rFonts w:hint="eastAsia" w:ascii="宋体" w:hAnsi="宋体"/>
          <w:szCs w:val="21"/>
        </w:rPr>
        <w:t>4.实践课教学进程表（见附件1－4）</w:t>
      </w:r>
    </w:p>
    <w:p>
      <w:pPr>
        <w:adjustRightInd w:val="0"/>
        <w:snapToGrid w:val="0"/>
        <w:spacing w:line="360" w:lineRule="auto"/>
        <w:jc w:val="center"/>
        <w:rPr>
          <w:rFonts w:ascii="宋体" w:hAnsi="宋体"/>
          <w:b/>
          <w:bCs/>
          <w:szCs w:val="21"/>
        </w:rPr>
      </w:pPr>
    </w:p>
    <w:p>
      <w:pPr>
        <w:adjustRightInd w:val="0"/>
        <w:snapToGrid w:val="0"/>
        <w:spacing w:line="360" w:lineRule="auto"/>
        <w:jc w:val="left"/>
        <w:rPr>
          <w:rFonts w:ascii="宋体" w:hAnsi="宋体"/>
          <w:b/>
          <w:bCs/>
          <w:szCs w:val="21"/>
        </w:rPr>
      </w:pPr>
      <w:r>
        <w:rPr>
          <w:rFonts w:hint="eastAsia" w:ascii="宋体" w:hAnsi="宋体"/>
          <w:b/>
          <w:bCs/>
          <w:szCs w:val="21"/>
        </w:rPr>
        <w:t>附件1-</w:t>
      </w:r>
      <w:r>
        <w:rPr>
          <w:rFonts w:ascii="宋体" w:hAnsi="宋体"/>
          <w:b/>
          <w:bCs/>
          <w:szCs w:val="21"/>
        </w:rPr>
        <w:t>1</w:t>
      </w:r>
    </w:p>
    <w:p>
      <w:pPr>
        <w:adjustRightInd w:val="0"/>
        <w:snapToGrid w:val="0"/>
        <w:spacing w:line="360" w:lineRule="auto"/>
        <w:jc w:val="center"/>
        <w:rPr>
          <w:rFonts w:ascii="宋体" w:hAnsi="宋体"/>
          <w:b/>
          <w:bCs/>
          <w:szCs w:val="21"/>
        </w:rPr>
      </w:pPr>
      <w:r>
        <w:drawing>
          <wp:inline distT="0" distB="0" distL="0" distR="0">
            <wp:extent cx="5494655" cy="2926080"/>
            <wp:effectExtent l="0" t="0" r="0" b="762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5494655" cy="2926080"/>
                    </a:xfrm>
                    <a:prstGeom prst="rect">
                      <a:avLst/>
                    </a:prstGeom>
                    <a:noFill/>
                    <a:ln>
                      <a:noFill/>
                    </a:ln>
                  </pic:spPr>
                </pic:pic>
              </a:graphicData>
            </a:graphic>
          </wp:inline>
        </w:drawing>
      </w: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jc w:val="left"/>
        <w:rPr>
          <w:rFonts w:ascii="宋体" w:hAnsi="宋体"/>
          <w:b/>
          <w:bCs/>
          <w:szCs w:val="21"/>
        </w:rPr>
      </w:pPr>
      <w:r>
        <w:rPr>
          <w:rFonts w:hint="eastAsia" w:ascii="宋体" w:hAnsi="宋体"/>
          <w:szCs w:val="21"/>
        </w:rPr>
        <w:t>附件1－2</w:t>
      </w:r>
    </w:p>
    <w:p>
      <w:pPr>
        <w:adjustRightInd w:val="0"/>
        <w:snapToGrid w:val="0"/>
        <w:spacing w:line="360" w:lineRule="auto"/>
        <w:jc w:val="center"/>
        <w:rPr>
          <w:rFonts w:ascii="宋体" w:hAnsi="宋体"/>
          <w:b/>
          <w:bCs/>
          <w:szCs w:val="21"/>
        </w:rPr>
      </w:pPr>
      <w:r>
        <w:rPr>
          <w:rFonts w:hint="eastAsia"/>
        </w:rPr>
        <w:drawing>
          <wp:inline distT="0" distB="0" distL="0" distR="0">
            <wp:extent cx="5137150" cy="9108440"/>
            <wp:effectExtent l="0" t="0" r="635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137150" cy="9108440"/>
                    </a:xfrm>
                    <a:prstGeom prst="rect">
                      <a:avLst/>
                    </a:prstGeom>
                    <a:noFill/>
                    <a:ln>
                      <a:noFill/>
                    </a:ln>
                  </pic:spPr>
                </pic:pic>
              </a:graphicData>
            </a:graphic>
          </wp:inline>
        </w:drawing>
      </w:r>
    </w:p>
    <w:p>
      <w:pPr>
        <w:adjustRightInd w:val="0"/>
        <w:snapToGrid w:val="0"/>
        <w:spacing w:line="360" w:lineRule="auto"/>
        <w:jc w:val="left"/>
        <w:rPr>
          <w:rFonts w:ascii="宋体" w:hAnsi="宋体"/>
          <w:szCs w:val="21"/>
        </w:rPr>
      </w:pPr>
      <w:r>
        <w:rPr>
          <w:rFonts w:hint="eastAsia" w:ascii="宋体" w:hAnsi="宋体"/>
          <w:szCs w:val="21"/>
        </w:rPr>
        <w:t>附件1－3</w:t>
      </w:r>
    </w:p>
    <w:p>
      <w:pPr>
        <w:adjustRightInd w:val="0"/>
        <w:snapToGrid w:val="0"/>
        <w:spacing w:line="360" w:lineRule="auto"/>
        <w:rPr>
          <w:rFonts w:ascii="宋体" w:hAnsi="宋体"/>
          <w:b/>
          <w:bCs/>
          <w:szCs w:val="21"/>
        </w:rPr>
      </w:pPr>
      <w:r>
        <w:drawing>
          <wp:inline distT="0" distB="0" distL="0" distR="0">
            <wp:extent cx="6012180" cy="8375650"/>
            <wp:effectExtent l="0" t="0" r="7620" b="635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6012180" cy="8375650"/>
                    </a:xfrm>
                    <a:prstGeom prst="rect">
                      <a:avLst/>
                    </a:prstGeom>
                    <a:noFill/>
                    <a:ln>
                      <a:noFill/>
                    </a:ln>
                  </pic:spPr>
                </pic:pic>
              </a:graphicData>
            </a:graphic>
          </wp:inline>
        </w:drawing>
      </w:r>
    </w:p>
    <w:p>
      <w:pPr>
        <w:adjustRightInd w:val="0"/>
        <w:snapToGrid w:val="0"/>
        <w:spacing w:line="360" w:lineRule="auto"/>
      </w:pPr>
    </w:p>
    <w:p>
      <w:pPr>
        <w:adjustRightInd w:val="0"/>
        <w:snapToGrid w:val="0"/>
        <w:spacing w:line="360" w:lineRule="auto"/>
      </w:pPr>
      <w:r>
        <w:rPr>
          <w:rFonts w:hint="eastAsia"/>
        </w:rPr>
        <w:t>附件1-</w:t>
      </w:r>
      <w:r>
        <w:t>4</w:t>
      </w:r>
    </w:p>
    <w:p>
      <w:pPr>
        <w:adjustRightInd w:val="0"/>
        <w:snapToGrid w:val="0"/>
        <w:spacing w:line="360" w:lineRule="auto"/>
        <w:jc w:val="center"/>
        <w:rPr>
          <w:rFonts w:ascii="宋体" w:hAnsi="宋体"/>
          <w:b/>
          <w:bCs/>
          <w:szCs w:val="21"/>
        </w:rPr>
      </w:pPr>
      <w:r>
        <w:drawing>
          <wp:inline distT="0" distB="0" distL="0" distR="0">
            <wp:extent cx="6012180" cy="2919730"/>
            <wp:effectExtent l="0" t="0" r="762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6012180" cy="2919730"/>
                    </a:xfrm>
                    <a:prstGeom prst="rect">
                      <a:avLst/>
                    </a:prstGeom>
                    <a:noFill/>
                    <a:ln>
                      <a:noFill/>
                    </a:ln>
                  </pic:spPr>
                </pic:pic>
              </a:graphicData>
            </a:graphic>
          </wp:inline>
        </w:drawing>
      </w: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
    <w:sectPr>
      <w:footerReference r:id="rId3" w:type="default"/>
      <w:footerReference r:id="rId4" w:type="even"/>
      <w:pgSz w:w="11906" w:h="16838"/>
      <w:pgMar w:top="1247" w:right="1304" w:bottom="1247" w:left="1134"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fldChar w:fldCharType="begin"/>
    </w:r>
    <w:r>
      <w:instrText xml:space="preserve"> PAGE   \* MERGEFORMAT </w:instrText>
    </w:r>
    <w:r>
      <w:fldChar w:fldCharType="separate"/>
    </w:r>
    <w:r>
      <w:rPr>
        <w:lang w:val="zh-CN"/>
      </w:rPr>
      <w:t>14</w:t>
    </w:r>
    <w:r>
      <w:fldChar w:fldCharType="end"/>
    </w:r>
  </w:p>
  <w:p>
    <w:pPr>
      <w:pStyle w:val="3"/>
    </w:pP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Style w:val="9"/>
      </w:rPr>
    </w:pPr>
    <w:r>
      <w:fldChar w:fldCharType="begin"/>
    </w:r>
    <w:r>
      <w:rPr>
        <w:rStyle w:val="9"/>
      </w:rPr>
      <w:instrText xml:space="preserve">PAGE  </w:instrText>
    </w:r>
    <w:r>
      <w:fldChar w:fldCharType="separate"/>
    </w:r>
    <w:r>
      <w:rPr>
        <w:rStyle w:val="9"/>
      </w:rPr>
      <w:t>1</w:t>
    </w:r>
    <w:r>
      <w:fldChar w:fldCharType="end"/>
    </w:r>
  </w:p>
  <w:p>
    <w:pPr>
      <w:pStyle w:val="3"/>
    </w:pP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196ECB"/>
    <w:multiLevelType w:val="singleLevel"/>
    <w:tmpl w:val="59196ECB"/>
    <w:lvl w:ilvl="0" w:tentative="0">
      <w:start w:val="3"/>
      <w:numFmt w:val="chineseCounting"/>
      <w:suff w:val="nothing"/>
      <w:lvlText w:val="（%1）"/>
      <w:lvlJc w:val="left"/>
    </w:lvl>
  </w:abstractNum>
  <w:abstractNum w:abstractNumId="1">
    <w:nsid w:val="591970B7"/>
    <w:multiLevelType w:val="singleLevel"/>
    <w:tmpl w:val="591970B7"/>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ZjMjdlOWI1MzA5Mzc3NGMxOGE2Y2I5M2QxOTFjZDQifQ=="/>
  </w:docVars>
  <w:rsids>
    <w:rsidRoot w:val="0000374C"/>
    <w:rsid w:val="0000374C"/>
    <w:rsid w:val="00010332"/>
    <w:rsid w:val="00023C74"/>
    <w:rsid w:val="0003464D"/>
    <w:rsid w:val="000355F6"/>
    <w:rsid w:val="00036E63"/>
    <w:rsid w:val="00037808"/>
    <w:rsid w:val="00051153"/>
    <w:rsid w:val="00056410"/>
    <w:rsid w:val="000613E1"/>
    <w:rsid w:val="00061B6D"/>
    <w:rsid w:val="00067439"/>
    <w:rsid w:val="00070B8C"/>
    <w:rsid w:val="00080124"/>
    <w:rsid w:val="00082A43"/>
    <w:rsid w:val="000A5280"/>
    <w:rsid w:val="000B32B3"/>
    <w:rsid w:val="000B4625"/>
    <w:rsid w:val="000D03C2"/>
    <w:rsid w:val="000E234A"/>
    <w:rsid w:val="000F0BBD"/>
    <w:rsid w:val="000F4257"/>
    <w:rsid w:val="00104D78"/>
    <w:rsid w:val="00110E9B"/>
    <w:rsid w:val="00123BA4"/>
    <w:rsid w:val="00137827"/>
    <w:rsid w:val="0015222D"/>
    <w:rsid w:val="00162403"/>
    <w:rsid w:val="00180AB3"/>
    <w:rsid w:val="00181D16"/>
    <w:rsid w:val="0018207D"/>
    <w:rsid w:val="001A7781"/>
    <w:rsid w:val="001E162D"/>
    <w:rsid w:val="001E6403"/>
    <w:rsid w:val="00207C41"/>
    <w:rsid w:val="00210CBC"/>
    <w:rsid w:val="0022172D"/>
    <w:rsid w:val="0022424E"/>
    <w:rsid w:val="0022588F"/>
    <w:rsid w:val="002538C9"/>
    <w:rsid w:val="00266CD1"/>
    <w:rsid w:val="002E2555"/>
    <w:rsid w:val="002E6E8D"/>
    <w:rsid w:val="002F6B5D"/>
    <w:rsid w:val="0031200D"/>
    <w:rsid w:val="00314884"/>
    <w:rsid w:val="0033022D"/>
    <w:rsid w:val="003715F7"/>
    <w:rsid w:val="00383AC9"/>
    <w:rsid w:val="003845D6"/>
    <w:rsid w:val="00387013"/>
    <w:rsid w:val="003870C7"/>
    <w:rsid w:val="00396300"/>
    <w:rsid w:val="003C03FA"/>
    <w:rsid w:val="003C5215"/>
    <w:rsid w:val="003E299B"/>
    <w:rsid w:val="003F08D8"/>
    <w:rsid w:val="003F6165"/>
    <w:rsid w:val="003F7A3E"/>
    <w:rsid w:val="004021BF"/>
    <w:rsid w:val="00411396"/>
    <w:rsid w:val="004259A5"/>
    <w:rsid w:val="00454AEF"/>
    <w:rsid w:val="00464F9E"/>
    <w:rsid w:val="00495F34"/>
    <w:rsid w:val="004B238E"/>
    <w:rsid w:val="004B249D"/>
    <w:rsid w:val="004B4241"/>
    <w:rsid w:val="004C29E1"/>
    <w:rsid w:val="004C48F0"/>
    <w:rsid w:val="004D2CCE"/>
    <w:rsid w:val="004E11E8"/>
    <w:rsid w:val="004E7586"/>
    <w:rsid w:val="00505498"/>
    <w:rsid w:val="00512169"/>
    <w:rsid w:val="00524BF5"/>
    <w:rsid w:val="00574862"/>
    <w:rsid w:val="00576626"/>
    <w:rsid w:val="00576931"/>
    <w:rsid w:val="005A2CC8"/>
    <w:rsid w:val="005A3E19"/>
    <w:rsid w:val="005C0109"/>
    <w:rsid w:val="005D31CD"/>
    <w:rsid w:val="005D610F"/>
    <w:rsid w:val="005D7F64"/>
    <w:rsid w:val="005E1795"/>
    <w:rsid w:val="0060152A"/>
    <w:rsid w:val="00606102"/>
    <w:rsid w:val="006070E8"/>
    <w:rsid w:val="00612619"/>
    <w:rsid w:val="00613213"/>
    <w:rsid w:val="00624FBB"/>
    <w:rsid w:val="00633F37"/>
    <w:rsid w:val="00636076"/>
    <w:rsid w:val="00651883"/>
    <w:rsid w:val="00664A19"/>
    <w:rsid w:val="0067046A"/>
    <w:rsid w:val="006818C5"/>
    <w:rsid w:val="00692C52"/>
    <w:rsid w:val="006B5AD1"/>
    <w:rsid w:val="006C36C8"/>
    <w:rsid w:val="006C7C43"/>
    <w:rsid w:val="007076A5"/>
    <w:rsid w:val="0071504A"/>
    <w:rsid w:val="00783F8C"/>
    <w:rsid w:val="007850D1"/>
    <w:rsid w:val="007919BB"/>
    <w:rsid w:val="007C3D9A"/>
    <w:rsid w:val="007E1AAC"/>
    <w:rsid w:val="007E3EE5"/>
    <w:rsid w:val="008119F5"/>
    <w:rsid w:val="008825AF"/>
    <w:rsid w:val="008879C8"/>
    <w:rsid w:val="008A5CD7"/>
    <w:rsid w:val="008B77F1"/>
    <w:rsid w:val="008C4522"/>
    <w:rsid w:val="008F043A"/>
    <w:rsid w:val="008F4A3E"/>
    <w:rsid w:val="0090604A"/>
    <w:rsid w:val="00923E05"/>
    <w:rsid w:val="00927297"/>
    <w:rsid w:val="00937067"/>
    <w:rsid w:val="009427E6"/>
    <w:rsid w:val="00947E9F"/>
    <w:rsid w:val="00951A03"/>
    <w:rsid w:val="00981886"/>
    <w:rsid w:val="00984BBF"/>
    <w:rsid w:val="009A06A8"/>
    <w:rsid w:val="009A0BBA"/>
    <w:rsid w:val="009B6DC1"/>
    <w:rsid w:val="009D4612"/>
    <w:rsid w:val="009E49CC"/>
    <w:rsid w:val="009E7621"/>
    <w:rsid w:val="00A14764"/>
    <w:rsid w:val="00A2184C"/>
    <w:rsid w:val="00A34C98"/>
    <w:rsid w:val="00A5359C"/>
    <w:rsid w:val="00A56079"/>
    <w:rsid w:val="00A74478"/>
    <w:rsid w:val="00A85283"/>
    <w:rsid w:val="00AB0D47"/>
    <w:rsid w:val="00AB0FF0"/>
    <w:rsid w:val="00AC30EC"/>
    <w:rsid w:val="00AC5910"/>
    <w:rsid w:val="00AC7941"/>
    <w:rsid w:val="00AD5A90"/>
    <w:rsid w:val="00B05E8A"/>
    <w:rsid w:val="00B10314"/>
    <w:rsid w:val="00B11E15"/>
    <w:rsid w:val="00B136BE"/>
    <w:rsid w:val="00B723D8"/>
    <w:rsid w:val="00B7769B"/>
    <w:rsid w:val="00BA6488"/>
    <w:rsid w:val="00BA6ADB"/>
    <w:rsid w:val="00BB7C09"/>
    <w:rsid w:val="00BD59D8"/>
    <w:rsid w:val="00C22E4D"/>
    <w:rsid w:val="00C37769"/>
    <w:rsid w:val="00C53EFF"/>
    <w:rsid w:val="00C57820"/>
    <w:rsid w:val="00C73015"/>
    <w:rsid w:val="00C824FB"/>
    <w:rsid w:val="00C86774"/>
    <w:rsid w:val="00CA603F"/>
    <w:rsid w:val="00CA7C32"/>
    <w:rsid w:val="00CD082A"/>
    <w:rsid w:val="00CD23E0"/>
    <w:rsid w:val="00CD492D"/>
    <w:rsid w:val="00CD6008"/>
    <w:rsid w:val="00CE1016"/>
    <w:rsid w:val="00D11D30"/>
    <w:rsid w:val="00D36479"/>
    <w:rsid w:val="00D5798E"/>
    <w:rsid w:val="00D608D6"/>
    <w:rsid w:val="00D675CC"/>
    <w:rsid w:val="00D87D7A"/>
    <w:rsid w:val="00DB711A"/>
    <w:rsid w:val="00DD4F41"/>
    <w:rsid w:val="00DE09B3"/>
    <w:rsid w:val="00DF73C9"/>
    <w:rsid w:val="00E046AB"/>
    <w:rsid w:val="00E1308A"/>
    <w:rsid w:val="00E136BB"/>
    <w:rsid w:val="00E16825"/>
    <w:rsid w:val="00E337C2"/>
    <w:rsid w:val="00E347C9"/>
    <w:rsid w:val="00E5395A"/>
    <w:rsid w:val="00E55598"/>
    <w:rsid w:val="00E615B8"/>
    <w:rsid w:val="00E62359"/>
    <w:rsid w:val="00E62596"/>
    <w:rsid w:val="00E6384B"/>
    <w:rsid w:val="00E66872"/>
    <w:rsid w:val="00E746B6"/>
    <w:rsid w:val="00E7758E"/>
    <w:rsid w:val="00E90F9C"/>
    <w:rsid w:val="00E96312"/>
    <w:rsid w:val="00EA7934"/>
    <w:rsid w:val="00EC6F44"/>
    <w:rsid w:val="00ED7623"/>
    <w:rsid w:val="00EE6B0B"/>
    <w:rsid w:val="00EF0B0B"/>
    <w:rsid w:val="00EF1100"/>
    <w:rsid w:val="00EF3A59"/>
    <w:rsid w:val="00EF3EC3"/>
    <w:rsid w:val="00F1038B"/>
    <w:rsid w:val="00F3245F"/>
    <w:rsid w:val="00F36C22"/>
    <w:rsid w:val="00F420B6"/>
    <w:rsid w:val="00F4539C"/>
    <w:rsid w:val="00F52E94"/>
    <w:rsid w:val="00F60781"/>
    <w:rsid w:val="00F60B06"/>
    <w:rsid w:val="00F74DB3"/>
    <w:rsid w:val="00F763BF"/>
    <w:rsid w:val="00F862AE"/>
    <w:rsid w:val="00F97A27"/>
    <w:rsid w:val="00FB51F5"/>
    <w:rsid w:val="09AA00D8"/>
    <w:rsid w:val="27616AF6"/>
    <w:rsid w:val="28A13818"/>
    <w:rsid w:val="50614128"/>
    <w:rsid w:val="529768E0"/>
    <w:rsid w:val="6439018D"/>
    <w:rsid w:val="77AB4C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4"/>
    <w:semiHidden/>
    <w:unhideWhenUsed/>
    <w:uiPriority w:val="99"/>
    <w:rPr>
      <w:sz w:val="18"/>
      <w:szCs w:val="18"/>
    </w:rPr>
  </w:style>
  <w:style w:type="paragraph" w:styleId="3">
    <w:name w:val="footer"/>
    <w:basedOn w:val="1"/>
    <w:link w:val="12"/>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12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99"/>
    <w:pPr>
      <w:widowControl/>
      <w:spacing w:before="100" w:beforeAutospacing="1" w:after="100" w:afterAutospacing="1"/>
      <w:jc w:val="left"/>
    </w:pPr>
    <w:rPr>
      <w:rFonts w:ascii="宋体" w:hAnsi="宋体" w:cs="宋体"/>
      <w:kern w:val="0"/>
      <w:sz w:val="24"/>
    </w:rPr>
  </w:style>
  <w:style w:type="character" w:styleId="8">
    <w:name w:val="Strong"/>
    <w:qFormat/>
    <w:uiPriority w:val="0"/>
    <w:rPr>
      <w:b/>
      <w:bCs/>
    </w:rPr>
  </w:style>
  <w:style w:type="character" w:styleId="9">
    <w:name w:val="page number"/>
    <w:basedOn w:val="7"/>
    <w:qFormat/>
    <w:uiPriority w:val="0"/>
  </w:style>
  <w:style w:type="character" w:styleId="10">
    <w:name w:val="FollowedHyperlink"/>
    <w:basedOn w:val="7"/>
    <w:semiHidden/>
    <w:unhideWhenUsed/>
    <w:qFormat/>
    <w:uiPriority w:val="99"/>
    <w:rPr>
      <w:color w:val="800080"/>
      <w:u w:val="single"/>
    </w:rPr>
  </w:style>
  <w:style w:type="character" w:styleId="11">
    <w:name w:val="Hyperlink"/>
    <w:basedOn w:val="7"/>
    <w:semiHidden/>
    <w:unhideWhenUsed/>
    <w:qFormat/>
    <w:uiPriority w:val="99"/>
    <w:rPr>
      <w:color w:val="0000FF"/>
      <w:u w:val="single"/>
    </w:rPr>
  </w:style>
  <w:style w:type="character" w:customStyle="1" w:styleId="12">
    <w:name w:val="页脚 字符"/>
    <w:link w:val="3"/>
    <w:qFormat/>
    <w:uiPriority w:val="99"/>
    <w:rPr>
      <w:sz w:val="18"/>
      <w:szCs w:val="18"/>
    </w:rPr>
  </w:style>
  <w:style w:type="character" w:customStyle="1" w:styleId="13">
    <w:name w:val="页脚 Char1"/>
    <w:basedOn w:val="7"/>
    <w:semiHidden/>
    <w:uiPriority w:val="99"/>
    <w:rPr>
      <w:rFonts w:ascii="Times New Roman" w:hAnsi="Times New Roman" w:eastAsia="宋体" w:cs="Times New Roman"/>
      <w:sz w:val="18"/>
      <w:szCs w:val="18"/>
    </w:rPr>
  </w:style>
  <w:style w:type="character" w:customStyle="1" w:styleId="14">
    <w:name w:val="批注框文本 字符"/>
    <w:basedOn w:val="7"/>
    <w:link w:val="2"/>
    <w:semiHidden/>
    <w:uiPriority w:val="99"/>
    <w:rPr>
      <w:rFonts w:ascii="Times New Roman" w:hAnsi="Times New Roman" w:eastAsia="宋体" w:cs="Times New Roman"/>
      <w:sz w:val="18"/>
      <w:szCs w:val="18"/>
    </w:rPr>
  </w:style>
  <w:style w:type="paragraph" w:styleId="15">
    <w:name w:val="List Paragraph"/>
    <w:basedOn w:val="1"/>
    <w:qFormat/>
    <w:uiPriority w:val="34"/>
    <w:pPr>
      <w:ind w:firstLine="420" w:firstLineChars="200"/>
    </w:pPr>
  </w:style>
  <w:style w:type="paragraph" w:customStyle="1" w:styleId="16">
    <w:name w:val="font0"/>
    <w:basedOn w:val="1"/>
    <w:qFormat/>
    <w:uiPriority w:val="0"/>
    <w:pPr>
      <w:widowControl/>
      <w:spacing w:before="100" w:beforeAutospacing="1" w:after="100" w:afterAutospacing="1"/>
      <w:jc w:val="left"/>
    </w:pPr>
    <w:rPr>
      <w:rFonts w:ascii="宋体" w:hAnsi="宋体" w:cs="宋体"/>
      <w:kern w:val="0"/>
      <w:sz w:val="24"/>
    </w:rPr>
  </w:style>
  <w:style w:type="paragraph" w:customStyle="1" w:styleId="17">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8">
    <w:name w:val="font6"/>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19">
    <w:name w:val="font7"/>
    <w:basedOn w:val="1"/>
    <w:qFormat/>
    <w:uiPriority w:val="0"/>
    <w:pPr>
      <w:widowControl/>
      <w:spacing w:before="100" w:beforeAutospacing="1" w:after="100" w:afterAutospacing="1"/>
      <w:jc w:val="left"/>
    </w:pPr>
    <w:rPr>
      <w:kern w:val="0"/>
      <w:sz w:val="18"/>
      <w:szCs w:val="18"/>
    </w:rPr>
  </w:style>
  <w:style w:type="paragraph" w:customStyle="1" w:styleId="20">
    <w:name w:val="font8"/>
    <w:basedOn w:val="1"/>
    <w:uiPriority w:val="0"/>
    <w:pPr>
      <w:widowControl/>
      <w:spacing w:before="100" w:beforeAutospacing="1" w:after="100" w:afterAutospacing="1"/>
      <w:jc w:val="left"/>
    </w:pPr>
    <w:rPr>
      <w:rFonts w:ascii="宋体" w:hAnsi="宋体" w:cs="宋体"/>
      <w:color w:val="FF0000"/>
      <w:kern w:val="0"/>
      <w:sz w:val="18"/>
      <w:szCs w:val="18"/>
    </w:rPr>
  </w:style>
  <w:style w:type="paragraph" w:customStyle="1" w:styleId="21">
    <w:name w:val="font9"/>
    <w:basedOn w:val="1"/>
    <w:uiPriority w:val="0"/>
    <w:pPr>
      <w:widowControl/>
      <w:spacing w:before="100" w:beforeAutospacing="1" w:after="100" w:afterAutospacing="1"/>
      <w:jc w:val="left"/>
    </w:pPr>
    <w:rPr>
      <w:rFonts w:ascii="宋体" w:hAnsi="宋体" w:cs="宋体"/>
      <w:color w:val="FF0000"/>
      <w:kern w:val="0"/>
      <w:sz w:val="18"/>
      <w:szCs w:val="18"/>
    </w:rPr>
  </w:style>
  <w:style w:type="paragraph" w:customStyle="1" w:styleId="22">
    <w:name w:val="font10"/>
    <w:basedOn w:val="1"/>
    <w:uiPriority w:val="0"/>
    <w:pPr>
      <w:widowControl/>
      <w:spacing w:before="100" w:beforeAutospacing="1" w:after="100" w:afterAutospacing="1"/>
      <w:jc w:val="left"/>
    </w:pPr>
    <w:rPr>
      <w:rFonts w:ascii="宋体" w:hAnsi="宋体" w:cs="宋体"/>
      <w:kern w:val="0"/>
      <w:sz w:val="18"/>
      <w:szCs w:val="18"/>
    </w:rPr>
  </w:style>
  <w:style w:type="paragraph" w:customStyle="1" w:styleId="23">
    <w:name w:val="font11"/>
    <w:basedOn w:val="1"/>
    <w:uiPriority w:val="0"/>
    <w:pPr>
      <w:widowControl/>
      <w:spacing w:before="100" w:beforeAutospacing="1" w:after="100" w:afterAutospacing="1"/>
      <w:jc w:val="left"/>
    </w:pPr>
    <w:rPr>
      <w:rFonts w:ascii="宋体" w:hAnsi="宋体" w:cs="宋体"/>
      <w:kern w:val="0"/>
      <w:sz w:val="24"/>
    </w:rPr>
  </w:style>
  <w:style w:type="paragraph" w:customStyle="1" w:styleId="24">
    <w:name w:val="font12"/>
    <w:basedOn w:val="1"/>
    <w:uiPriority w:val="0"/>
    <w:pPr>
      <w:widowControl/>
      <w:spacing w:before="100" w:beforeAutospacing="1" w:after="100" w:afterAutospacing="1"/>
      <w:jc w:val="left"/>
    </w:pPr>
    <w:rPr>
      <w:rFonts w:ascii="宋体" w:hAnsi="宋体" w:cs="宋体"/>
      <w:kern w:val="0"/>
      <w:sz w:val="20"/>
      <w:szCs w:val="20"/>
    </w:rPr>
  </w:style>
  <w:style w:type="paragraph" w:customStyle="1" w:styleId="25">
    <w:name w:val="font13"/>
    <w:basedOn w:val="1"/>
    <w:uiPriority w:val="0"/>
    <w:pPr>
      <w:widowControl/>
      <w:spacing w:before="100" w:beforeAutospacing="1" w:after="100" w:afterAutospacing="1"/>
      <w:jc w:val="left"/>
    </w:pPr>
    <w:rPr>
      <w:rFonts w:ascii="宋体" w:hAnsi="宋体" w:cs="宋体"/>
      <w:kern w:val="0"/>
      <w:sz w:val="18"/>
      <w:szCs w:val="18"/>
    </w:rPr>
  </w:style>
  <w:style w:type="paragraph" w:customStyle="1" w:styleId="26">
    <w:name w:val="xl65"/>
    <w:basedOn w:val="1"/>
    <w:uiPriority w:val="0"/>
    <w:pPr>
      <w:widowControl/>
      <w:spacing w:before="100" w:beforeAutospacing="1" w:after="100" w:afterAutospacing="1"/>
      <w:jc w:val="center"/>
      <w:textAlignment w:val="center"/>
    </w:pPr>
    <w:rPr>
      <w:rFonts w:ascii="宋体" w:hAnsi="宋体" w:cs="宋体"/>
      <w:kern w:val="0"/>
      <w:sz w:val="18"/>
      <w:szCs w:val="18"/>
    </w:rPr>
  </w:style>
  <w:style w:type="paragraph" w:customStyle="1" w:styleId="27">
    <w:name w:val="xl66"/>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28">
    <w:name w:val="xl67"/>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29">
    <w:name w:val="xl68"/>
    <w:basedOn w:val="1"/>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30">
    <w:name w:val="xl69"/>
    <w:basedOn w:val="1"/>
    <w:uiPriority w:val="0"/>
    <w:pPr>
      <w:widowControl/>
      <w:shd w:val="clear" w:color="000000" w:fill="FFFFFF"/>
      <w:spacing w:before="100" w:beforeAutospacing="1" w:after="100" w:afterAutospacing="1"/>
      <w:jc w:val="center"/>
      <w:textAlignment w:val="center"/>
    </w:pPr>
    <w:rPr>
      <w:rFonts w:ascii="宋体" w:hAnsi="宋体" w:cs="宋体"/>
      <w:kern w:val="0"/>
      <w:sz w:val="24"/>
    </w:rPr>
  </w:style>
  <w:style w:type="paragraph" w:customStyle="1" w:styleId="31">
    <w:name w:val="xl70"/>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32">
    <w:name w:val="xl71"/>
    <w:basedOn w:val="1"/>
    <w:qFormat/>
    <w:uiPriority w:val="0"/>
    <w:pPr>
      <w:widowControl/>
      <w:shd w:val="clear" w:color="000000" w:fill="FFFFFF"/>
      <w:spacing w:before="100" w:beforeAutospacing="1" w:after="100" w:afterAutospacing="1"/>
      <w:jc w:val="center"/>
      <w:textAlignment w:val="center"/>
    </w:pPr>
    <w:rPr>
      <w:rFonts w:ascii="宋体" w:hAnsi="宋体" w:cs="宋体"/>
      <w:b/>
      <w:bCs/>
      <w:kern w:val="0"/>
      <w:sz w:val="36"/>
      <w:szCs w:val="36"/>
    </w:rPr>
  </w:style>
  <w:style w:type="paragraph" w:customStyle="1" w:styleId="33">
    <w:name w:val="xl72"/>
    <w:basedOn w:val="1"/>
    <w:uiPriority w:val="0"/>
    <w:pPr>
      <w:widowControl/>
      <w:pBdr>
        <w:bottom w:val="single" w:color="auto" w:sz="4" w:space="0"/>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34">
    <w:name w:val="xl73"/>
    <w:basedOn w:val="1"/>
    <w:qFormat/>
    <w:uiPriority w:val="0"/>
    <w:pPr>
      <w:widowControl/>
      <w:pBdr>
        <w:bottom w:val="single" w:color="auto" w:sz="4" w:space="0"/>
      </w:pBdr>
      <w:shd w:val="clear" w:color="000000" w:fill="FFFFFF"/>
      <w:spacing w:before="100" w:beforeAutospacing="1" w:after="100" w:afterAutospacing="1"/>
      <w:jc w:val="left"/>
      <w:textAlignment w:val="center"/>
    </w:pPr>
    <w:rPr>
      <w:rFonts w:ascii="宋体" w:hAnsi="宋体" w:cs="宋体"/>
      <w:kern w:val="0"/>
      <w:sz w:val="20"/>
      <w:szCs w:val="20"/>
    </w:rPr>
  </w:style>
  <w:style w:type="paragraph" w:customStyle="1" w:styleId="35">
    <w:name w:val="xl74"/>
    <w:basedOn w:val="1"/>
    <w:uiPriority w:val="0"/>
    <w:pPr>
      <w:widowControl/>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36">
    <w:name w:val="xl75"/>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37">
    <w:name w:val="xl76"/>
    <w:basedOn w:val="1"/>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38">
    <w:name w:val="xl77"/>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4"/>
    </w:rPr>
  </w:style>
  <w:style w:type="paragraph" w:customStyle="1" w:styleId="39">
    <w:name w:val="xl7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szCs w:val="20"/>
    </w:rPr>
  </w:style>
  <w:style w:type="paragraph" w:customStyle="1" w:styleId="40">
    <w:name w:val="xl79"/>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1">
    <w:name w:val="xl8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2">
    <w:name w:val="xl8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3">
    <w:name w:val="xl82"/>
    <w:basedOn w:val="1"/>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4">
    <w:name w:val="xl83"/>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5">
    <w:name w:val="xl84"/>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46">
    <w:name w:val="xl8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47">
    <w:name w:val="xl86"/>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8">
    <w:name w:val="xl87"/>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9">
    <w:name w:val="xl88"/>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50">
    <w:name w:val="xl8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51">
    <w:name w:val="xl90"/>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52">
    <w:name w:val="xl91"/>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4"/>
    </w:rPr>
  </w:style>
  <w:style w:type="paragraph" w:customStyle="1" w:styleId="53">
    <w:name w:val="xl92"/>
    <w:basedOn w:val="1"/>
    <w:uiPriority w:val="0"/>
    <w:pPr>
      <w:widowControl/>
      <w:shd w:val="clear" w:color="000000" w:fill="FFFFFF"/>
      <w:spacing w:before="100" w:beforeAutospacing="1" w:after="100" w:afterAutospacing="1"/>
      <w:jc w:val="left"/>
    </w:pPr>
    <w:rPr>
      <w:rFonts w:ascii="宋体" w:hAnsi="宋体" w:cs="宋体"/>
      <w:kern w:val="0"/>
      <w:sz w:val="20"/>
      <w:szCs w:val="20"/>
    </w:rPr>
  </w:style>
  <w:style w:type="paragraph" w:customStyle="1" w:styleId="54">
    <w:name w:val="xl93"/>
    <w:basedOn w:val="1"/>
    <w:qFormat/>
    <w:uiPriority w:val="0"/>
    <w:pPr>
      <w:widowControl/>
      <w:shd w:val="clear" w:color="000000" w:fill="FFFFFF"/>
      <w:spacing w:before="100" w:beforeAutospacing="1" w:after="100" w:afterAutospacing="1"/>
      <w:jc w:val="center"/>
    </w:pPr>
    <w:rPr>
      <w:rFonts w:ascii="宋体" w:hAnsi="宋体" w:cs="宋体"/>
      <w:kern w:val="0"/>
      <w:sz w:val="18"/>
      <w:szCs w:val="18"/>
    </w:rPr>
  </w:style>
  <w:style w:type="paragraph" w:customStyle="1" w:styleId="55">
    <w:name w:val="xl94"/>
    <w:basedOn w:val="1"/>
    <w:uiPriority w:val="0"/>
    <w:pPr>
      <w:widowControl/>
      <w:shd w:val="clear" w:color="000000" w:fill="FFFFFF"/>
      <w:spacing w:before="100" w:beforeAutospacing="1" w:after="100" w:afterAutospacing="1"/>
      <w:jc w:val="left"/>
    </w:pPr>
    <w:rPr>
      <w:rFonts w:ascii="宋体" w:hAnsi="宋体" w:cs="宋体"/>
      <w:kern w:val="0"/>
      <w:sz w:val="18"/>
      <w:szCs w:val="18"/>
    </w:rPr>
  </w:style>
  <w:style w:type="paragraph" w:customStyle="1" w:styleId="56">
    <w:name w:val="xl95"/>
    <w:basedOn w:val="1"/>
    <w:uiPriority w:val="0"/>
    <w:pPr>
      <w:widowControl/>
      <w:shd w:val="clear" w:color="000000" w:fill="FFFFFF"/>
      <w:spacing w:before="100" w:beforeAutospacing="1" w:after="100" w:afterAutospacing="1"/>
      <w:jc w:val="left"/>
    </w:pPr>
    <w:rPr>
      <w:rFonts w:ascii="宋体" w:hAnsi="宋体" w:cs="宋体"/>
      <w:kern w:val="0"/>
      <w:sz w:val="18"/>
      <w:szCs w:val="18"/>
    </w:rPr>
  </w:style>
  <w:style w:type="paragraph" w:customStyle="1" w:styleId="57">
    <w:name w:val="xl96"/>
    <w:basedOn w:val="1"/>
    <w:uiPriority w:val="0"/>
    <w:pPr>
      <w:widowControl/>
      <w:shd w:val="clear" w:color="000000" w:fill="FFFFFF"/>
      <w:spacing w:before="100" w:beforeAutospacing="1" w:after="100" w:afterAutospacing="1"/>
      <w:jc w:val="center"/>
    </w:pPr>
    <w:rPr>
      <w:rFonts w:ascii="宋体" w:hAnsi="宋体" w:cs="宋体"/>
      <w:kern w:val="0"/>
      <w:sz w:val="24"/>
    </w:rPr>
  </w:style>
  <w:style w:type="paragraph" w:customStyle="1" w:styleId="58">
    <w:name w:val="xl97"/>
    <w:basedOn w:val="1"/>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59">
    <w:name w:val="xl98"/>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60">
    <w:name w:val="xl99"/>
    <w:basedOn w:val="1"/>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1">
    <w:name w:val="xl100"/>
    <w:basedOn w:val="1"/>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2">
    <w:name w:val="xl101"/>
    <w:basedOn w:val="1"/>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color w:val="FF0000"/>
      <w:kern w:val="0"/>
      <w:sz w:val="18"/>
      <w:szCs w:val="18"/>
    </w:rPr>
  </w:style>
  <w:style w:type="paragraph" w:customStyle="1" w:styleId="63">
    <w:name w:val="xl102"/>
    <w:basedOn w:val="1"/>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FF0000"/>
      <w:kern w:val="0"/>
      <w:sz w:val="18"/>
      <w:szCs w:val="18"/>
    </w:rPr>
  </w:style>
  <w:style w:type="paragraph" w:customStyle="1" w:styleId="64">
    <w:name w:val="xl103"/>
    <w:basedOn w:val="1"/>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5">
    <w:name w:val="xl104"/>
    <w:basedOn w:val="1"/>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6">
    <w:name w:val="xl105"/>
    <w:basedOn w:val="1"/>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FF0000"/>
      <w:kern w:val="0"/>
      <w:sz w:val="18"/>
      <w:szCs w:val="18"/>
    </w:rPr>
  </w:style>
  <w:style w:type="paragraph" w:customStyle="1" w:styleId="67">
    <w:name w:val="xl106"/>
    <w:basedOn w:val="1"/>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8">
    <w:name w:val="xl107"/>
    <w:basedOn w:val="1"/>
    <w:uiPriority w:val="0"/>
    <w:pPr>
      <w:widowControl/>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9">
    <w:name w:val="xl108"/>
    <w:basedOn w:val="1"/>
    <w:uiPriority w:val="0"/>
    <w:pPr>
      <w:widowControl/>
      <w:pBdr>
        <w:top w:val="single" w:color="auto" w:sz="4" w:space="0"/>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0">
    <w:name w:val="xl109"/>
    <w:basedOn w:val="1"/>
    <w:uiPriority w:val="0"/>
    <w:pPr>
      <w:widowControl/>
      <w:pBdr>
        <w:top w:val="single" w:color="auto" w:sz="4" w:space="0"/>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1">
    <w:name w:val="xl110"/>
    <w:basedOn w:val="1"/>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left"/>
    </w:pPr>
    <w:rPr>
      <w:rFonts w:ascii="宋体" w:hAnsi="宋体" w:cs="宋体"/>
      <w:kern w:val="0"/>
      <w:sz w:val="24"/>
    </w:rPr>
  </w:style>
  <w:style w:type="paragraph" w:customStyle="1" w:styleId="72">
    <w:name w:val="xl111"/>
    <w:basedOn w:val="1"/>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color w:val="FF0000"/>
      <w:kern w:val="0"/>
      <w:sz w:val="18"/>
      <w:szCs w:val="18"/>
    </w:rPr>
  </w:style>
  <w:style w:type="paragraph" w:customStyle="1" w:styleId="73">
    <w:name w:val="xl112"/>
    <w:basedOn w:val="1"/>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4">
    <w:name w:val="xl113"/>
    <w:basedOn w:val="1"/>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5">
    <w:name w:val="xl114"/>
    <w:basedOn w:val="1"/>
    <w:uiPriority w:val="0"/>
    <w:pPr>
      <w:widowControl/>
      <w:pBdr>
        <w:top w:val="single" w:color="auto" w:sz="4" w:space="0"/>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76">
    <w:name w:val="xl115"/>
    <w:basedOn w:val="1"/>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left"/>
    </w:pPr>
    <w:rPr>
      <w:rFonts w:ascii="宋体" w:hAnsi="宋体" w:cs="宋体"/>
      <w:kern w:val="0"/>
      <w:sz w:val="24"/>
    </w:rPr>
  </w:style>
  <w:style w:type="paragraph" w:customStyle="1" w:styleId="77">
    <w:name w:val="xl116"/>
    <w:basedOn w:val="1"/>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78">
    <w:name w:val="xl117"/>
    <w:basedOn w:val="1"/>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79">
    <w:name w:val="xl118"/>
    <w:basedOn w:val="1"/>
    <w:uiPriority w:val="0"/>
    <w:pPr>
      <w:widowControl/>
      <w:pBdr>
        <w:left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0">
    <w:name w:val="xl119"/>
    <w:basedOn w:val="1"/>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1">
    <w:name w:val="xl120"/>
    <w:basedOn w:val="1"/>
    <w:uiPriority w:val="0"/>
    <w:pPr>
      <w:widowControl/>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2">
    <w:name w:val="xl121"/>
    <w:basedOn w:val="1"/>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3">
    <w:name w:val="xl122"/>
    <w:basedOn w:val="1"/>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4">
    <w:name w:val="xl123"/>
    <w:basedOn w:val="1"/>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FF"/>
      <w:kern w:val="0"/>
      <w:sz w:val="18"/>
      <w:szCs w:val="18"/>
    </w:rPr>
  </w:style>
  <w:style w:type="paragraph" w:customStyle="1" w:styleId="85">
    <w:name w:val="xl124"/>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86">
    <w:name w:val="xl125"/>
    <w:basedOn w:val="1"/>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b/>
      <w:bCs/>
      <w:kern w:val="0"/>
      <w:sz w:val="18"/>
      <w:szCs w:val="18"/>
    </w:rPr>
  </w:style>
  <w:style w:type="paragraph" w:customStyle="1" w:styleId="87">
    <w:name w:val="xl126"/>
    <w:basedOn w:val="1"/>
    <w:qFormat/>
    <w:uiPriority w:val="0"/>
    <w:pPr>
      <w:widowControl/>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8">
    <w:name w:val="xl127"/>
    <w:basedOn w:val="1"/>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color w:val="FF0000"/>
      <w:kern w:val="0"/>
      <w:sz w:val="18"/>
      <w:szCs w:val="18"/>
    </w:rPr>
  </w:style>
  <w:style w:type="paragraph" w:customStyle="1" w:styleId="89">
    <w:name w:val="xl128"/>
    <w:basedOn w:val="1"/>
    <w:qFormat/>
    <w:uiPriority w:val="0"/>
    <w:pPr>
      <w:widowControl/>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90">
    <w:name w:val="xl129"/>
    <w:basedOn w:val="1"/>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left"/>
    </w:pPr>
    <w:rPr>
      <w:rFonts w:ascii="宋体" w:hAnsi="宋体" w:cs="宋体"/>
      <w:kern w:val="0"/>
      <w:sz w:val="24"/>
    </w:rPr>
  </w:style>
  <w:style w:type="paragraph" w:customStyle="1" w:styleId="91">
    <w:name w:val="xl130"/>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92">
    <w:name w:val="xl131"/>
    <w:basedOn w:val="1"/>
    <w:uiPriority w:val="0"/>
    <w:pPr>
      <w:widowControl/>
      <w:shd w:val="clear" w:color="000000" w:fill="C5D9F1"/>
      <w:spacing w:before="100" w:beforeAutospacing="1" w:after="100" w:afterAutospacing="1"/>
      <w:jc w:val="left"/>
    </w:pPr>
    <w:rPr>
      <w:rFonts w:ascii="宋体" w:hAnsi="宋体" w:cs="宋体"/>
      <w:kern w:val="0"/>
      <w:sz w:val="24"/>
    </w:rPr>
  </w:style>
  <w:style w:type="paragraph" w:customStyle="1" w:styleId="93">
    <w:name w:val="xl132"/>
    <w:basedOn w:val="1"/>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94">
    <w:name w:val="xl133"/>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95">
    <w:name w:val="xl134"/>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color w:val="000000"/>
      <w:kern w:val="0"/>
      <w:sz w:val="18"/>
      <w:szCs w:val="18"/>
    </w:rPr>
  </w:style>
  <w:style w:type="paragraph" w:customStyle="1" w:styleId="96">
    <w:name w:val="xl135"/>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97">
    <w:name w:val="xl136"/>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color w:val="F2DCDB"/>
      <w:kern w:val="0"/>
      <w:sz w:val="18"/>
      <w:szCs w:val="18"/>
    </w:rPr>
  </w:style>
  <w:style w:type="paragraph" w:customStyle="1" w:styleId="98">
    <w:name w:val="xl137"/>
    <w:basedOn w:val="1"/>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99">
    <w:name w:val="xl138"/>
    <w:basedOn w:val="1"/>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100">
    <w:name w:val="xl139"/>
    <w:basedOn w:val="1"/>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101">
    <w:name w:val="xl140"/>
    <w:basedOn w:val="1"/>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102">
    <w:name w:val="xl141"/>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color w:val="000000"/>
      <w:kern w:val="0"/>
      <w:sz w:val="18"/>
      <w:szCs w:val="18"/>
    </w:rPr>
  </w:style>
  <w:style w:type="paragraph" w:customStyle="1" w:styleId="103">
    <w:name w:val="xl142"/>
    <w:basedOn w:val="1"/>
    <w:uiPriority w:val="0"/>
    <w:pPr>
      <w:widowControl/>
      <w:pBdr>
        <w:top w:val="single" w:color="auto" w:sz="4" w:space="0"/>
        <w:left w:val="single" w:color="auto" w:sz="4" w:space="0"/>
        <w:bottom w:val="single" w:color="auto" w:sz="4" w:space="0"/>
        <w:right w:val="single" w:color="auto" w:sz="4" w:space="0"/>
      </w:pBdr>
      <w:shd w:val="clear" w:color="000000" w:fill="4F81BD"/>
      <w:spacing w:before="100" w:beforeAutospacing="1" w:after="100" w:afterAutospacing="1"/>
      <w:jc w:val="center"/>
      <w:textAlignment w:val="center"/>
    </w:pPr>
    <w:rPr>
      <w:rFonts w:ascii="宋体" w:hAnsi="宋体" w:cs="宋体"/>
      <w:kern w:val="0"/>
      <w:sz w:val="18"/>
      <w:szCs w:val="18"/>
    </w:rPr>
  </w:style>
  <w:style w:type="paragraph" w:customStyle="1" w:styleId="104">
    <w:name w:val="xl143"/>
    <w:basedOn w:val="1"/>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left"/>
    </w:pPr>
    <w:rPr>
      <w:rFonts w:ascii="宋体" w:hAnsi="宋体" w:cs="宋体"/>
      <w:kern w:val="0"/>
      <w:sz w:val="24"/>
    </w:rPr>
  </w:style>
  <w:style w:type="paragraph" w:customStyle="1" w:styleId="105">
    <w:name w:val="xl144"/>
    <w:basedOn w:val="1"/>
    <w:uiPriority w:val="0"/>
    <w:pPr>
      <w:widowControl/>
      <w:pBdr>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106">
    <w:name w:val="xl145"/>
    <w:basedOn w:val="1"/>
    <w:uiPriority w:val="0"/>
    <w:pPr>
      <w:widowControl/>
      <w:pBdr>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107">
    <w:name w:val="xl146"/>
    <w:basedOn w:val="1"/>
    <w:uiPriority w:val="0"/>
    <w:pPr>
      <w:widowControl/>
      <w:pBdr>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108">
    <w:name w:val="xl147"/>
    <w:basedOn w:val="1"/>
    <w:uiPriority w:val="0"/>
    <w:pPr>
      <w:widowControl/>
      <w:pBdr>
        <w:top w:val="single" w:color="auto" w:sz="4" w:space="0"/>
        <w:left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09">
    <w:name w:val="xl148"/>
    <w:basedOn w:val="1"/>
    <w:uiPriority w:val="0"/>
    <w:pPr>
      <w:widowControl/>
      <w:pBdr>
        <w:left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10">
    <w:name w:val="xl149"/>
    <w:basedOn w:val="1"/>
    <w:uiPriority w:val="0"/>
    <w:pPr>
      <w:widowControl/>
      <w:pBdr>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11">
    <w:name w:val="xl150"/>
    <w:basedOn w:val="1"/>
    <w:uiPriority w:val="0"/>
    <w:pPr>
      <w:widowControl/>
      <w:pBdr>
        <w:top w:val="single" w:color="auto" w:sz="4" w:space="0"/>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2">
    <w:name w:val="xl151"/>
    <w:basedOn w:val="1"/>
    <w:uiPriority w:val="0"/>
    <w:pPr>
      <w:widowControl/>
      <w:pBdr>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3">
    <w:name w:val="xl152"/>
    <w:basedOn w:val="1"/>
    <w:uiPriority w:val="0"/>
    <w:pPr>
      <w:widowControl/>
      <w:pBdr>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4">
    <w:name w:val="xl153"/>
    <w:basedOn w:val="1"/>
    <w:uiPriority w:val="0"/>
    <w:pPr>
      <w:widowControl/>
      <w:pBdr>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115">
    <w:name w:val="xl154"/>
    <w:basedOn w:val="1"/>
    <w:uiPriority w:val="0"/>
    <w:pPr>
      <w:widowControl/>
      <w:shd w:val="clear" w:color="000000" w:fill="FFFFFF"/>
      <w:spacing w:before="100" w:beforeAutospacing="1" w:after="100" w:afterAutospacing="1"/>
      <w:jc w:val="center"/>
      <w:textAlignment w:val="center"/>
    </w:pPr>
    <w:rPr>
      <w:rFonts w:ascii="宋体" w:hAnsi="宋体" w:cs="宋体"/>
      <w:b/>
      <w:bCs/>
      <w:kern w:val="0"/>
      <w:sz w:val="32"/>
      <w:szCs w:val="32"/>
    </w:rPr>
  </w:style>
  <w:style w:type="paragraph" w:customStyle="1" w:styleId="116">
    <w:name w:val="xl155"/>
    <w:basedOn w:val="1"/>
    <w:uiPriority w:val="0"/>
    <w:pPr>
      <w:widowControl/>
      <w:pBdr>
        <w:bottom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117">
    <w:name w:val="xl156"/>
    <w:basedOn w:val="1"/>
    <w:uiPriority w:val="0"/>
    <w:pPr>
      <w:widowControl/>
      <w:pBdr>
        <w:top w:val="single" w:color="auto" w:sz="4" w:space="0"/>
      </w:pBdr>
      <w:shd w:val="clear" w:color="000000" w:fill="FFFFFF"/>
      <w:spacing w:before="100" w:beforeAutospacing="1" w:after="100" w:afterAutospacing="1"/>
      <w:jc w:val="center"/>
    </w:pPr>
    <w:rPr>
      <w:rFonts w:ascii="宋体" w:hAnsi="宋体" w:cs="宋体"/>
      <w:kern w:val="0"/>
      <w:sz w:val="18"/>
      <w:szCs w:val="18"/>
    </w:rPr>
  </w:style>
  <w:style w:type="paragraph" w:customStyle="1" w:styleId="118">
    <w:name w:val="xl157"/>
    <w:basedOn w:val="1"/>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119">
    <w:name w:val="xl158"/>
    <w:basedOn w:val="1"/>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character" w:customStyle="1" w:styleId="120">
    <w:name w:val="页眉 字符"/>
    <w:basedOn w:val="7"/>
    <w:link w:val="4"/>
    <w:uiPriority w:val="99"/>
    <w:rPr>
      <w:rFonts w:ascii="Times New Roman" w:hAnsi="Times New Roman" w:eastAsia="宋体" w:cs="Times New Roman"/>
      <w:sz w:val="18"/>
      <w:szCs w:val="18"/>
    </w:rPr>
  </w:style>
  <w:style w:type="table" w:customStyle="1" w:styleId="121">
    <w:name w:val="网格型浅色1"/>
    <w:basedOn w:val="6"/>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4.emf"/><Relationship Id="rId8" Type="http://schemas.openxmlformats.org/officeDocument/2006/relationships/image" Target="media/image3.emf"/><Relationship Id="rId7" Type="http://schemas.openxmlformats.org/officeDocument/2006/relationships/image" Target="media/image2.emf"/><Relationship Id="rId6" Type="http://schemas.openxmlformats.org/officeDocument/2006/relationships/image" Target="media/image1.emf"/><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image" Target="media/image5.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shenduxitong</Company>
  <Pages>14</Pages>
  <Words>6878</Words>
  <Characters>7045</Characters>
  <Lines>55</Lines>
  <Paragraphs>15</Paragraphs>
  <TotalTime>209</TotalTime>
  <ScaleCrop>false</ScaleCrop>
  <LinksUpToDate>false</LinksUpToDate>
  <CharactersWithSpaces>7250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2022-10-24T03:06:00Z</dcterms:created>
  <dc:creator>Windows 用户</dc:creator>
  <cp:lastModifiedBy>Van</cp:lastModifiedBy>
  <dcterms:modified xsi:type="dcterms:W3CDTF">2022-12-13T08:28:11Z</dcterms:modified>
  <cp:revision>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41A45B4DB9FA406FB52F42CE192DDB6C</vt:lpwstr>
  </property>
</Properties>
</file>