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音乐表演专业人才培养方案</w:t>
      </w:r>
    </w:p>
    <w:p>
      <w:pPr>
        <w:jc w:val="center"/>
        <w:rPr>
          <w:rFonts w:eastAsia="黑体"/>
          <w:b/>
          <w:sz w:val="28"/>
        </w:rPr>
      </w:pPr>
    </w:p>
    <w:p>
      <w:pPr>
        <w:jc w:val="center"/>
        <w:rPr>
          <w:rFonts w:ascii="宋体" w:hAnsi="宋体"/>
          <w:sz w:val="30"/>
        </w:rPr>
      </w:pPr>
    </w:p>
    <w:p>
      <w:pPr>
        <w:tabs>
          <w:tab w:val="left" w:pos="7080"/>
        </w:tabs>
        <w:spacing w:line="900" w:lineRule="exact"/>
        <w:ind w:firstLine="1574" w:firstLineChars="492"/>
        <w:rPr>
          <w:rFonts w:ascii="宋体" w:hAnsi="宋体"/>
          <w:color w:val="262626" w:themeColor="text1" w:themeTint="D9"/>
          <w:sz w:val="32"/>
          <w:u w:val="single"/>
          <w14:textFill>
            <w14:solidFill>
              <w14:schemeClr w14:val="tx1">
                <w14:lumMod w14:val="85000"/>
                <w14:lumOff w14:val="15000"/>
              </w14:schemeClr>
            </w14:solidFill>
          </w14:textFill>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color w:val="262626" w:themeColor="text1" w:themeTint="D9"/>
          <w:sz w:val="32"/>
          <w:u w:val="single"/>
          <w14:textFill>
            <w14:solidFill>
              <w14:schemeClr w14:val="tx1">
                <w14:lumMod w14:val="85000"/>
                <w14:lumOff w14:val="15000"/>
              </w14:schemeClr>
            </w14:solidFill>
          </w14:textFill>
        </w:rPr>
        <w:t xml:space="preserve"> 音乐学院   </w:t>
      </w:r>
      <w:r>
        <w:rPr>
          <w:rFonts w:ascii="宋体" w:hAnsi="宋体"/>
          <w:color w:val="262626" w:themeColor="text1" w:themeTint="D9"/>
          <w:sz w:val="32"/>
          <w:u w:val="single"/>
          <w14:textFill>
            <w14:solidFill>
              <w14:schemeClr w14:val="tx1">
                <w14:lumMod w14:val="85000"/>
                <w14:lumOff w14:val="15000"/>
              </w14:schemeClr>
            </w14:solidFill>
          </w14:textFill>
        </w:rPr>
        <w:t xml:space="preserve"> </w:t>
      </w:r>
      <w:r>
        <w:rPr>
          <w:rFonts w:hint="eastAsia" w:ascii="宋体" w:hAnsi="宋体"/>
          <w:color w:val="262626" w:themeColor="text1" w:themeTint="D9"/>
          <w:sz w:val="32"/>
          <w:u w:val="single"/>
          <w14:textFill>
            <w14:solidFill>
              <w14:schemeClr w14:val="tx1">
                <w14:lumMod w14:val="85000"/>
                <w14:lumOff w14:val="15000"/>
              </w14:schemeClr>
            </w14:solidFill>
          </w14:textFill>
        </w:rPr>
        <w:t xml:space="preserve">     </w:t>
      </w:r>
    </w:p>
    <w:p>
      <w:pPr>
        <w:tabs>
          <w:tab w:val="left" w:pos="7080"/>
        </w:tabs>
        <w:spacing w:line="900" w:lineRule="exact"/>
        <w:ind w:firstLine="1574" w:firstLineChars="492"/>
        <w:rPr>
          <w:rFonts w:ascii="宋体" w:hAnsi="宋体"/>
          <w:color w:val="262626" w:themeColor="text1" w:themeTint="D9"/>
          <w:sz w:val="32"/>
          <w:u w:val="single"/>
          <w14:textFill>
            <w14:solidFill>
              <w14:schemeClr w14:val="tx1">
                <w14:lumMod w14:val="85000"/>
                <w14:lumOff w14:val="15000"/>
              </w14:schemeClr>
            </w14:solidFill>
          </w14:textFill>
        </w:rPr>
      </w:pPr>
      <w:r>
        <w:rPr>
          <w:rFonts w:hint="eastAsia" w:ascii="宋体" w:hAnsi="宋体"/>
          <w:color w:val="262626" w:themeColor="text1" w:themeTint="D9"/>
          <w:sz w:val="32"/>
          <w14:textFill>
            <w14:solidFill>
              <w14:schemeClr w14:val="tx1">
                <w14:lumMod w14:val="85000"/>
                <w14:lumOff w14:val="15000"/>
              </w14:schemeClr>
            </w14:solidFill>
          </w14:textFill>
        </w:rPr>
        <w:t>专</w:t>
      </w:r>
      <w:r>
        <w:rPr>
          <w:rFonts w:ascii="宋体" w:hAnsi="宋体"/>
          <w:color w:val="262626" w:themeColor="text1" w:themeTint="D9"/>
          <w:sz w:val="32"/>
          <w14:textFill>
            <w14:solidFill>
              <w14:schemeClr w14:val="tx1">
                <w14:lumMod w14:val="85000"/>
                <w14:lumOff w14:val="15000"/>
              </w14:schemeClr>
            </w14:solidFill>
          </w14:textFill>
        </w:rPr>
        <w:t xml:space="preserve">         业 </w:t>
      </w:r>
      <w:r>
        <w:rPr>
          <w:rFonts w:ascii="宋体" w:hAnsi="宋体"/>
          <w:color w:val="262626" w:themeColor="text1" w:themeTint="D9"/>
          <w:sz w:val="32"/>
          <w:u w:val="single"/>
          <w14:textFill>
            <w14:solidFill>
              <w14:schemeClr w14:val="tx1">
                <w14:lumMod w14:val="85000"/>
                <w14:lumOff w14:val="15000"/>
              </w14:schemeClr>
            </w14:solidFill>
          </w14:textFill>
        </w:rPr>
        <w:t xml:space="preserve">   </w:t>
      </w:r>
      <w:r>
        <w:rPr>
          <w:rFonts w:hint="eastAsia" w:ascii="宋体" w:hAnsi="宋体"/>
          <w:color w:val="262626" w:themeColor="text1" w:themeTint="D9"/>
          <w:sz w:val="32"/>
          <w:u w:val="single"/>
          <w14:textFill>
            <w14:solidFill>
              <w14:schemeClr w14:val="tx1">
                <w14:lumMod w14:val="85000"/>
                <w14:lumOff w14:val="15000"/>
              </w14:schemeClr>
            </w14:solidFill>
          </w14:textFill>
        </w:rPr>
        <w:t xml:space="preserve"> </w:t>
      </w:r>
      <w:r>
        <w:rPr>
          <w:rFonts w:ascii="宋体" w:hAnsi="宋体"/>
          <w:color w:val="262626" w:themeColor="text1" w:themeTint="D9"/>
          <w:sz w:val="32"/>
          <w:u w:val="single"/>
          <w14:textFill>
            <w14:solidFill>
              <w14:schemeClr w14:val="tx1">
                <w14:lumMod w14:val="85000"/>
                <w14:lumOff w14:val="15000"/>
              </w14:schemeClr>
            </w14:solidFill>
          </w14:textFill>
        </w:rPr>
        <w:t xml:space="preserve"> </w:t>
      </w:r>
      <w:r>
        <w:rPr>
          <w:rFonts w:hint="eastAsia" w:ascii="宋体" w:hAnsi="宋体"/>
          <w:color w:val="262626" w:themeColor="text1" w:themeTint="D9"/>
          <w:sz w:val="32"/>
          <w:u w:val="single"/>
          <w14:textFill>
            <w14:solidFill>
              <w14:schemeClr w14:val="tx1">
                <w14:lumMod w14:val="85000"/>
                <w14:lumOff w14:val="15000"/>
              </w14:schemeClr>
            </w14:solidFill>
          </w14:textFill>
        </w:rPr>
        <w:t xml:space="preserve"> 音乐表演</w:t>
      </w:r>
      <w:r>
        <w:rPr>
          <w:rFonts w:hint="eastAsia" w:ascii="宋体" w:hAnsi="宋体"/>
          <w:color w:val="262626" w:themeColor="text1" w:themeTint="D9"/>
          <w:sz w:val="32"/>
          <w:u w:val="single"/>
          <w:lang w:val="en-US" w:eastAsia="zh-CN"/>
          <w14:textFill>
            <w14:solidFill>
              <w14:schemeClr w14:val="tx1">
                <w14:lumMod w14:val="85000"/>
                <w14:lumOff w14:val="15000"/>
              </w14:schemeClr>
            </w14:solidFill>
          </w14:textFill>
        </w:rPr>
        <w:t xml:space="preserve">  </w:t>
      </w:r>
      <w:r>
        <w:rPr>
          <w:rFonts w:hint="eastAsia" w:ascii="宋体" w:hAnsi="宋体"/>
          <w:color w:val="262626" w:themeColor="text1" w:themeTint="D9"/>
          <w:sz w:val="32"/>
          <w:u w:val="single"/>
          <w14:textFill>
            <w14:solidFill>
              <w14:schemeClr w14:val="tx1">
                <w14:lumMod w14:val="85000"/>
                <w14:lumOff w14:val="15000"/>
              </w14:schemeClr>
            </w14:solidFill>
          </w14:textFill>
        </w:rPr>
        <w:t xml:space="preserve"> </w:t>
      </w:r>
      <w:r>
        <w:rPr>
          <w:rFonts w:ascii="宋体" w:hAnsi="宋体"/>
          <w:color w:val="262626" w:themeColor="text1" w:themeTint="D9"/>
          <w:sz w:val="32"/>
          <w:u w:val="single"/>
          <w14:textFill>
            <w14:solidFill>
              <w14:schemeClr w14:val="tx1">
                <w14:lumMod w14:val="85000"/>
                <w14:lumOff w14:val="15000"/>
              </w14:schemeClr>
            </w14:solidFill>
          </w14:textFill>
        </w:rPr>
        <w:t xml:space="preserve">    </w:t>
      </w:r>
      <w:r>
        <w:rPr>
          <w:rFonts w:hint="eastAsia" w:ascii="宋体" w:hAnsi="宋体"/>
          <w:color w:val="262626" w:themeColor="text1" w:themeTint="D9"/>
          <w:sz w:val="32"/>
          <w:u w:val="single"/>
          <w14:textFill>
            <w14:solidFill>
              <w14:schemeClr w14:val="tx1">
                <w14:lumMod w14:val="85000"/>
                <w14:lumOff w14:val="15000"/>
              </w14:schemeClr>
            </w14:solidFill>
          </w14:textFill>
        </w:rPr>
        <w:t xml:space="preserve"> </w:t>
      </w:r>
      <w:r>
        <w:rPr>
          <w:rFonts w:ascii="宋体" w:hAnsi="宋体"/>
          <w:color w:val="262626" w:themeColor="text1" w:themeTint="D9"/>
          <w:sz w:val="32"/>
          <w:u w:val="single"/>
          <w14:textFill>
            <w14:solidFill>
              <w14:schemeClr w14:val="tx1">
                <w14:lumMod w14:val="85000"/>
                <w14:lumOff w14:val="15000"/>
              </w14:schemeClr>
            </w14:solidFill>
          </w14:textFill>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color w:val="262626" w:themeColor="text1" w:themeTint="D9"/>
          <w:sz w:val="32"/>
          <w14:textFill>
            <w14:solidFill>
              <w14:schemeClr w14:val="tx1">
                <w14:lumMod w14:val="85000"/>
                <w14:lumOff w14:val="15000"/>
              </w14:schemeClr>
            </w14:solidFill>
          </w14:textFill>
        </w:rPr>
        <w:t>年</w:t>
      </w:r>
      <w:r>
        <w:rPr>
          <w:rFonts w:ascii="宋体" w:hAnsi="宋体"/>
          <w:color w:val="262626" w:themeColor="text1" w:themeTint="D9"/>
          <w:sz w:val="32"/>
          <w14:textFill>
            <w14:solidFill>
              <w14:schemeClr w14:val="tx1">
                <w14:lumMod w14:val="85000"/>
                <w14:lumOff w14:val="15000"/>
              </w14:schemeClr>
            </w14:solidFill>
          </w14:textFill>
        </w:rPr>
        <w:t xml:space="preserve">         级 </w:t>
      </w:r>
      <w:r>
        <w:rPr>
          <w:rFonts w:ascii="宋体" w:hAnsi="宋体"/>
          <w:color w:val="262626" w:themeColor="text1" w:themeTint="D9"/>
          <w:sz w:val="32"/>
          <w:u w:val="single"/>
          <w14:textFill>
            <w14:solidFill>
              <w14:schemeClr w14:val="tx1">
                <w14:lumMod w14:val="85000"/>
                <w14:lumOff w14:val="15000"/>
              </w14:schemeClr>
            </w14:solidFill>
          </w14:textFill>
        </w:rPr>
        <w:t xml:space="preserve">   </w:t>
      </w:r>
      <w:r>
        <w:rPr>
          <w:rFonts w:hint="eastAsia" w:ascii="宋体" w:hAnsi="宋体"/>
          <w:color w:val="262626" w:themeColor="text1" w:themeTint="D9"/>
          <w:sz w:val="32"/>
          <w:u w:val="single"/>
          <w14:textFill>
            <w14:solidFill>
              <w14:schemeClr w14:val="tx1">
                <w14:lumMod w14:val="85000"/>
                <w14:lumOff w14:val="15000"/>
              </w14:schemeClr>
            </w14:solidFill>
          </w14:textFill>
        </w:rPr>
        <w:t xml:space="preserve">   2023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邓永业</w:t>
      </w:r>
      <w:bookmarkStart w:id="0" w:name="_GoBack"/>
      <w:bookmarkEnd w:id="0"/>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ascii="仿宋_GB2312" w:eastAsia="仿宋_GB2312"/>
          <w:sz w:val="36"/>
          <w:szCs w:val="36"/>
        </w:rPr>
        <w:t>2</w:t>
      </w:r>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color w:val="FF0000"/>
          <w:sz w:val="28"/>
          <w:szCs w:val="28"/>
        </w:rPr>
      </w:pPr>
    </w:p>
    <w:p>
      <w:pPr>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广东茂名幼儿师范专科学校</w:t>
      </w:r>
    </w:p>
    <w:p>
      <w:pPr>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202</w:t>
      </w:r>
      <w:r>
        <w:rPr>
          <w:rFonts w:ascii="宋体" w:hAnsi="宋体"/>
          <w:b/>
          <w:color w:val="000000" w:themeColor="text1"/>
          <w:sz w:val="28"/>
          <w:szCs w:val="28"/>
          <w14:textFill>
            <w14:solidFill>
              <w14:schemeClr w14:val="tx1"/>
            </w14:solidFill>
          </w14:textFill>
        </w:rPr>
        <w:t>3</w:t>
      </w:r>
      <w:r>
        <w:rPr>
          <w:rFonts w:hint="eastAsia" w:ascii="宋体" w:hAnsi="宋体"/>
          <w:b/>
          <w:color w:val="000000" w:themeColor="text1"/>
          <w:sz w:val="28"/>
          <w:szCs w:val="28"/>
          <w14:textFill>
            <w14:solidFill>
              <w14:schemeClr w14:val="tx1"/>
            </w14:solidFill>
          </w14:textFill>
        </w:rPr>
        <w:t>级三年制音乐表演专业人才培养方案</w:t>
      </w:r>
    </w:p>
    <w:p>
      <w:pPr>
        <w:spacing w:line="360" w:lineRule="auto"/>
        <w:ind w:firstLine="422" w:firstLineChars="200"/>
        <w:rPr>
          <w:rFonts w:ascii="宋体" w:hAnsi="宋体"/>
          <w:b/>
          <w:bCs/>
          <w:color w:val="000000" w:themeColor="text1"/>
          <w:szCs w:val="21"/>
          <w14:textFill>
            <w14:solidFill>
              <w14:schemeClr w14:val="tx1"/>
            </w14:solidFill>
          </w14:textFill>
        </w:rPr>
      </w:pPr>
    </w:p>
    <w:p>
      <w:pPr>
        <w:spacing w:line="360" w:lineRule="auto"/>
        <w:ind w:firstLine="422" w:firstLineChars="200"/>
        <w:rPr>
          <w:rStyle w:val="8"/>
          <w:rFonts w:ascii="宋体" w:hAnsi="宋体" w:cs="宋体"/>
          <w:color w:val="000000" w:themeColor="text1"/>
          <w:sz w:val="24"/>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一、</w:t>
      </w:r>
      <w:r>
        <w:rPr>
          <w:rStyle w:val="8"/>
          <w:rFonts w:hint="eastAsia" w:ascii="宋体" w:hAnsi="宋体" w:cs="宋体"/>
          <w:color w:val="000000" w:themeColor="text1"/>
          <w:sz w:val="24"/>
          <w14:textFill>
            <w14:solidFill>
              <w14:schemeClr w14:val="tx1"/>
            </w14:solidFill>
          </w14:textFill>
        </w:rPr>
        <w:t>专业名称(代码)</w:t>
      </w:r>
    </w:p>
    <w:p>
      <w:pPr>
        <w:spacing w:line="360" w:lineRule="auto"/>
        <w:ind w:firstLine="480" w:firstLineChars="200"/>
        <w:rPr>
          <w:rStyle w:val="8"/>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
      </w:r>
      <w:r>
        <w:rPr>
          <w:rFonts w:hint="eastAsia" w:ascii="宋体" w:hAnsi="宋体" w:cs="宋体"/>
          <w:color w:val="000000" w:themeColor="text1"/>
          <w:sz w:val="24"/>
          <w14:textFill>
            <w14:solidFill>
              <w14:schemeClr w14:val="tx1"/>
            </w14:solidFill>
          </w14:textFill>
        </w:rPr>
        <w:t>音乐表演(专业代码:</w:t>
      </w:r>
      <w:r>
        <w:rPr>
          <w:rFonts w:ascii="宋体" w:hAnsi="宋体" w:cs="宋体"/>
          <w:color w:val="000000" w:themeColor="text1"/>
          <w:sz w:val="24"/>
          <w14:textFill>
            <w14:solidFill>
              <w14:schemeClr w14:val="tx1"/>
            </w14:solidFill>
          </w14:textFill>
        </w:rPr>
        <w:t>550201</w:t>
      </w:r>
      <w:r>
        <w:rPr>
          <w:rFonts w:hint="eastAsia" w:ascii="宋体" w:hAnsi="宋体" w:cs="宋体"/>
          <w:color w:val="000000" w:themeColor="text1"/>
          <w:sz w:val="24"/>
          <w14:textFill>
            <w14:solidFill>
              <w14:schemeClr w14:val="tx1"/>
            </w14:solidFill>
          </w14:textFill>
        </w:rPr>
        <w:t>)</w:t>
      </w:r>
    </w:p>
    <w:p>
      <w:pPr>
        <w:spacing w:line="360" w:lineRule="auto"/>
        <w:ind w:firstLine="482" w:firstLineChars="200"/>
        <w:rPr>
          <w:rStyle w:val="8"/>
          <w:rFonts w:ascii="宋体" w:hAnsi="宋体" w:cs="宋体"/>
          <w:color w:val="000000" w:themeColor="text1"/>
          <w:sz w:val="24"/>
          <w14:textFill>
            <w14:solidFill>
              <w14:schemeClr w14:val="tx1"/>
            </w14:solidFill>
          </w14:textFill>
        </w:rPr>
      </w:pPr>
      <w:r>
        <w:rPr>
          <w:rStyle w:val="8"/>
          <w:rFonts w:hint="eastAsia" w:ascii="宋体" w:hAnsi="宋体" w:cs="宋体"/>
          <w:color w:val="000000" w:themeColor="text1"/>
          <w:sz w:val="24"/>
          <w14:textFill>
            <w14:solidFill>
              <w14:schemeClr w14:val="tx1"/>
            </w14:solidFill>
          </w14:textFill>
        </w:rPr>
        <w:t>二、入学要求</w:t>
      </w:r>
    </w:p>
    <w:p>
      <w:pPr>
        <w:spacing w:line="360" w:lineRule="auto"/>
        <w:ind w:firstLine="480" w:firstLineChars="200"/>
        <w:rPr>
          <w:rStyle w:val="8"/>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
      </w:r>
      <w:r>
        <w:rPr>
          <w:rFonts w:hint="eastAsia" w:ascii="宋体" w:hAnsi="宋体" w:cs="宋体"/>
          <w:color w:val="000000" w:themeColor="text1"/>
          <w:sz w:val="24"/>
          <w14:textFill>
            <w14:solidFill>
              <w14:schemeClr w14:val="tx1"/>
            </w14:solidFill>
          </w14:textFill>
        </w:rPr>
        <w:t>普通高级中学毕业生，中等职业学校毕业或具备同等学力</w:t>
      </w:r>
    </w:p>
    <w:p>
      <w:pPr>
        <w:spacing w:line="360" w:lineRule="auto"/>
        <w:ind w:firstLine="482" w:firstLineChars="200"/>
        <w:rPr>
          <w:rStyle w:val="8"/>
          <w:rFonts w:ascii="宋体" w:hAnsi="宋体" w:cs="宋体"/>
          <w:color w:val="000000" w:themeColor="text1"/>
          <w:sz w:val="24"/>
          <w14:textFill>
            <w14:solidFill>
              <w14:schemeClr w14:val="tx1"/>
            </w14:solidFill>
          </w14:textFill>
        </w:rPr>
      </w:pPr>
      <w:r>
        <w:rPr>
          <w:rStyle w:val="8"/>
          <w:rFonts w:hint="eastAsia" w:ascii="宋体" w:hAnsi="宋体" w:cs="宋体"/>
          <w:color w:val="000000" w:themeColor="text1"/>
          <w:sz w:val="24"/>
          <w14:textFill>
            <w14:solidFill>
              <w14:schemeClr w14:val="tx1"/>
            </w14:solidFill>
          </w14:textFill>
        </w:rPr>
        <w:t>三、基本修业年限</w:t>
      </w:r>
    </w:p>
    <w:p>
      <w:pPr>
        <w:tabs>
          <w:tab w:val="left" w:pos="420"/>
          <w:tab w:val="left" w:pos="840"/>
          <w:tab w:val="left" w:pos="1260"/>
          <w:tab w:val="left" w:pos="1680"/>
          <w:tab w:val="center" w:pos="4974"/>
        </w:tabs>
        <w:autoSpaceDE w:val="0"/>
        <w:autoSpaceDN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
      </w:r>
      <w:r>
        <w:rPr>
          <w:rFonts w:hint="eastAsia" w:ascii="宋体" w:hAnsi="宋体" w:cs="宋体"/>
          <w:color w:val="000000" w:themeColor="text1"/>
          <w:sz w:val="24"/>
          <w14:textFill>
            <w14:solidFill>
              <w14:schemeClr w14:val="tx1"/>
            </w14:solidFill>
          </w14:textFill>
        </w:rPr>
        <w:t>三年制</w:t>
      </w:r>
      <w:r>
        <w:rPr>
          <w:rFonts w:ascii="宋体" w:hAnsi="宋体" w:cs="宋体"/>
          <w:color w:val="000000" w:themeColor="text1"/>
          <w:sz w:val="24"/>
          <w14:textFill>
            <w14:solidFill>
              <w14:schemeClr w14:val="tx1"/>
            </w14:solidFill>
          </w14:textFill>
        </w:rPr>
        <w:tab/>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四、职业面向</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(一)职业面向</w:t>
      </w:r>
    </w:p>
    <w:p>
      <w:pPr>
        <w:spacing w:line="360" w:lineRule="auto"/>
        <w:ind w:firstLine="482" w:firstLineChars="200"/>
        <w:rPr>
          <w:rFonts w:ascii="宋体" w:hAnsi="宋体" w:cs="宋体"/>
          <w:b/>
          <w:color w:val="000000" w:themeColor="text1"/>
          <w:sz w:val="24"/>
          <w14:textFill>
            <w14:solidFill>
              <w14:schemeClr w14:val="tx1"/>
            </w14:solidFill>
          </w14:textFill>
        </w:rPr>
      </w:pPr>
    </w:p>
    <w:tbl>
      <w:tblPr>
        <w:tblStyle w:val="6"/>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729"/>
        <w:gridCol w:w="2835"/>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所属专业大类</w:t>
            </w:r>
          </w:p>
        </w:tc>
        <w:tc>
          <w:tcPr>
            <w:tcW w:w="1142"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所属专业类</w:t>
            </w:r>
          </w:p>
        </w:tc>
        <w:tc>
          <w:tcPr>
            <w:tcW w:w="1134"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对应行业</w:t>
            </w:r>
          </w:p>
        </w:tc>
        <w:tc>
          <w:tcPr>
            <w:tcW w:w="1729"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主要职业类别</w:t>
            </w:r>
          </w:p>
        </w:tc>
        <w:tc>
          <w:tcPr>
            <w:tcW w:w="2835"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主要岗位类别（或技术领域）举例</w:t>
            </w:r>
          </w:p>
        </w:tc>
        <w:tc>
          <w:tcPr>
            <w:tcW w:w="1956"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8" w:hRule="atLeast"/>
        </w:trPr>
        <w:tc>
          <w:tcPr>
            <w:tcW w:w="1093"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音乐与舞蹈学类</w:t>
            </w:r>
          </w:p>
        </w:tc>
        <w:tc>
          <w:tcPr>
            <w:tcW w:w="1142"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表演艺术类</w:t>
            </w:r>
          </w:p>
        </w:tc>
        <w:tc>
          <w:tcPr>
            <w:tcW w:w="1134"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文化艺术业、教育</w:t>
            </w:r>
          </w:p>
        </w:tc>
        <w:tc>
          <w:tcPr>
            <w:tcW w:w="1729"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表演人员、乐器演奏员、群众文化活动服务人员、其他教学人员</w:t>
            </w:r>
          </w:p>
        </w:tc>
        <w:tc>
          <w:tcPr>
            <w:tcW w:w="2835" w:type="dxa"/>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歌唱演员、乐器演奏员、群众文化指导员、文化艺术培训人员</w:t>
            </w:r>
          </w:p>
        </w:tc>
        <w:tc>
          <w:tcPr>
            <w:tcW w:w="1956"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器乐艺术指导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文化艺术大类</w:t>
            </w:r>
          </w:p>
        </w:tc>
        <w:tc>
          <w:tcPr>
            <w:tcW w:w="1142" w:type="dxa"/>
          </w:tcPr>
          <w:p>
            <w:pPr>
              <w:spacing w:line="360" w:lineRule="auto"/>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公共文化服务与管理</w:t>
            </w:r>
          </w:p>
        </w:tc>
        <w:tc>
          <w:tcPr>
            <w:tcW w:w="1134"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文化宣传</w:t>
            </w:r>
          </w:p>
        </w:tc>
        <w:tc>
          <w:tcPr>
            <w:tcW w:w="1729"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艺术培训</w:t>
            </w:r>
          </w:p>
        </w:tc>
        <w:tc>
          <w:tcPr>
            <w:tcW w:w="2835"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培训教师，宣传员，艺术管理人员</w:t>
            </w:r>
          </w:p>
        </w:tc>
        <w:tc>
          <w:tcPr>
            <w:tcW w:w="1956"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国家教师资格证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不限</w:t>
            </w:r>
          </w:p>
        </w:tc>
        <w:tc>
          <w:tcPr>
            <w:tcW w:w="1142" w:type="dxa"/>
          </w:tcPr>
          <w:p>
            <w:pPr>
              <w:spacing w:line="360" w:lineRule="auto"/>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企事业单位</w:t>
            </w:r>
          </w:p>
        </w:tc>
        <w:tc>
          <w:tcPr>
            <w:tcW w:w="1134"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企事业单位</w:t>
            </w:r>
          </w:p>
        </w:tc>
        <w:tc>
          <w:tcPr>
            <w:tcW w:w="1729"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宣传、外联等</w:t>
            </w:r>
          </w:p>
        </w:tc>
        <w:tc>
          <w:tcPr>
            <w:tcW w:w="2835"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公司企业文化宣传策划等</w:t>
            </w:r>
          </w:p>
          <w:p>
            <w:pPr>
              <w:spacing w:line="360" w:lineRule="auto"/>
              <w:rPr>
                <w:rFonts w:ascii="宋体" w:hAnsi="宋体" w:cs="宋体"/>
                <w:bCs/>
                <w:color w:val="000000" w:themeColor="text1"/>
                <w:sz w:val="24"/>
                <w14:textFill>
                  <w14:solidFill>
                    <w14:schemeClr w14:val="tx1"/>
                  </w14:solidFill>
                </w14:textFill>
              </w:rPr>
            </w:pPr>
          </w:p>
        </w:tc>
        <w:tc>
          <w:tcPr>
            <w:tcW w:w="1956"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不限</w:t>
            </w:r>
          </w:p>
        </w:tc>
      </w:tr>
    </w:tbl>
    <w:p>
      <w:pPr>
        <w:spacing w:line="360" w:lineRule="auto"/>
        <w:rPr>
          <w:rStyle w:val="8"/>
          <w:rFonts w:ascii="宋体" w:hAnsi="宋体" w:cs="宋体"/>
          <w:color w:val="FF0000"/>
          <w:sz w:val="24"/>
        </w:rPr>
      </w:pPr>
    </w:p>
    <w:p>
      <w:pPr>
        <w:spacing w:line="360" w:lineRule="auto"/>
        <w:rPr>
          <w:rStyle w:val="8"/>
          <w:rFonts w:hint="eastAsia" w:ascii="宋体" w:hAnsi="宋体" w:cs="宋体"/>
          <w:color w:val="FF0000"/>
          <w:sz w:val="24"/>
        </w:rPr>
      </w:pPr>
    </w:p>
    <w:p>
      <w:pPr>
        <w:widowControl/>
        <w:jc w:val="left"/>
        <w:rPr>
          <w:rStyle w:val="8"/>
          <w:rFonts w:ascii="宋体" w:hAnsi="宋体" w:cs="宋体"/>
          <w:sz w:val="24"/>
        </w:rPr>
      </w:pPr>
      <w:r>
        <w:rPr>
          <w:rStyle w:val="8"/>
          <w:rFonts w:ascii="宋体" w:hAnsi="宋体" w:cs="宋体"/>
          <w:sz w:val="24"/>
        </w:rPr>
        <w:br w:type="page"/>
      </w:r>
    </w:p>
    <w:p>
      <w:pPr>
        <w:spacing w:line="360" w:lineRule="auto"/>
        <w:ind w:firstLine="482" w:firstLineChars="200"/>
        <w:rPr>
          <w:rStyle w:val="8"/>
          <w:rFonts w:ascii="宋体" w:hAnsi="宋体" w:cs="宋体"/>
          <w:sz w:val="24"/>
        </w:rPr>
      </w:pPr>
      <w:r>
        <w:rPr>
          <w:rStyle w:val="8"/>
          <w:rFonts w:hint="eastAsia" w:ascii="宋体" w:hAnsi="宋体" w:cs="宋体"/>
          <w:sz w:val="24"/>
        </w:rPr>
        <w:t>(二)职业岗位群和核心能力分析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236"/>
        <w:gridCol w:w="2124"/>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宋体"/>
                <w:b/>
                <w:bCs/>
                <w:kern w:val="0"/>
                <w:sz w:val="24"/>
              </w:rPr>
            </w:pPr>
            <w:r>
              <w:rPr>
                <w:rFonts w:hint="eastAsia" w:ascii="宋体" w:hAnsi="宋体" w:cs="宋体"/>
                <w:b/>
                <w:bCs/>
                <w:kern w:val="0"/>
                <w:sz w:val="24"/>
              </w:rPr>
              <w:t>岗位</w:t>
            </w:r>
          </w:p>
        </w:tc>
        <w:tc>
          <w:tcPr>
            <w:tcW w:w="4236" w:type="dxa"/>
            <w:shd w:val="clear" w:color="auto" w:fill="auto"/>
          </w:tcPr>
          <w:p>
            <w:pPr>
              <w:widowControl/>
              <w:spacing w:line="360" w:lineRule="auto"/>
              <w:jc w:val="left"/>
              <w:rPr>
                <w:rFonts w:ascii="宋体" w:hAnsi="宋体" w:cs="宋体"/>
                <w:b/>
                <w:bCs/>
                <w:kern w:val="0"/>
                <w:sz w:val="24"/>
              </w:rPr>
            </w:pPr>
            <w:r>
              <w:rPr>
                <w:rFonts w:hint="eastAsia" w:ascii="宋体" w:hAnsi="宋体" w:cs="宋体"/>
                <w:b/>
                <w:bCs/>
                <w:kern w:val="0"/>
                <w:sz w:val="24"/>
              </w:rPr>
              <w:t>岗位能力要求</w:t>
            </w:r>
          </w:p>
        </w:tc>
        <w:tc>
          <w:tcPr>
            <w:tcW w:w="2124" w:type="dxa"/>
            <w:shd w:val="clear" w:color="auto" w:fill="auto"/>
          </w:tcPr>
          <w:p>
            <w:pPr>
              <w:widowControl/>
              <w:spacing w:line="360" w:lineRule="auto"/>
              <w:jc w:val="left"/>
              <w:rPr>
                <w:rFonts w:ascii="宋体" w:hAnsi="宋体" w:cs="宋体"/>
                <w:b/>
                <w:bCs/>
                <w:kern w:val="0"/>
                <w:sz w:val="24"/>
              </w:rPr>
            </w:pPr>
            <w:r>
              <w:rPr>
                <w:rFonts w:hint="eastAsia" w:ascii="宋体" w:hAnsi="宋体" w:cs="宋体"/>
                <w:b/>
                <w:bCs/>
                <w:kern w:val="0"/>
                <w:sz w:val="24"/>
              </w:rPr>
              <w:t>岗位职责</w:t>
            </w:r>
          </w:p>
        </w:tc>
        <w:tc>
          <w:tcPr>
            <w:tcW w:w="1305" w:type="dxa"/>
            <w:shd w:val="clear" w:color="auto" w:fill="auto"/>
          </w:tcPr>
          <w:p>
            <w:pPr>
              <w:widowControl/>
              <w:spacing w:line="360" w:lineRule="auto"/>
              <w:jc w:val="left"/>
              <w:rPr>
                <w:rFonts w:ascii="宋体" w:hAnsi="宋体" w:cs="宋体"/>
                <w:b/>
                <w:bCs/>
                <w:kern w:val="0"/>
                <w:sz w:val="24"/>
              </w:rPr>
            </w:pPr>
            <w:r>
              <w:rPr>
                <w:rFonts w:hint="eastAsia" w:ascii="宋体" w:hAnsi="宋体" w:cs="宋体"/>
                <w:b/>
                <w:bCs/>
                <w:kern w:val="0"/>
                <w:sz w:val="24"/>
              </w:rPr>
              <w:t>导出课程</w:t>
            </w:r>
          </w:p>
        </w:tc>
        <w:tc>
          <w:tcPr>
            <w:tcW w:w="1703" w:type="dxa"/>
            <w:shd w:val="clear" w:color="auto" w:fill="auto"/>
          </w:tcPr>
          <w:p>
            <w:pPr>
              <w:widowControl/>
              <w:spacing w:line="360" w:lineRule="auto"/>
              <w:jc w:val="left"/>
              <w:rPr>
                <w:rFonts w:ascii="宋体" w:hAnsi="宋体" w:cs="宋体"/>
                <w:b/>
                <w:bCs/>
                <w:kern w:val="0"/>
                <w:sz w:val="24"/>
              </w:rPr>
            </w:pPr>
            <w:r>
              <w:rPr>
                <w:rFonts w:hint="eastAsia" w:ascii="宋体" w:hAnsi="宋体" w:cs="宋体"/>
                <w:b/>
                <w:bCs/>
                <w:kern w:val="0"/>
                <w:sz w:val="24"/>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宋体"/>
                <w:kern w:val="0"/>
                <w:sz w:val="24"/>
              </w:rPr>
            </w:pPr>
            <w:r>
              <w:rPr>
                <w:rFonts w:hint="eastAsia" w:ascii="宋体" w:hAnsi="宋体" w:cs="宋体"/>
                <w:kern w:val="0"/>
                <w:sz w:val="24"/>
              </w:rPr>
              <w:t>音乐表演、管理类人员</w:t>
            </w:r>
          </w:p>
        </w:tc>
        <w:tc>
          <w:tcPr>
            <w:tcW w:w="4236" w:type="dxa"/>
            <w:shd w:val="clear" w:color="auto" w:fill="auto"/>
          </w:tcPr>
          <w:p>
            <w:pPr>
              <w:pStyle w:val="15"/>
              <w:spacing w:line="360" w:lineRule="auto"/>
              <w:ind w:firstLine="0" w:firstLineChars="0"/>
              <w:rPr>
                <w:rFonts w:ascii="宋体" w:hAnsi="宋体" w:cs="宋体"/>
                <w:sz w:val="24"/>
              </w:rPr>
            </w:pPr>
            <w:r>
              <w:rPr>
                <w:rFonts w:hint="eastAsia" w:ascii="宋体" w:hAnsi="宋体" w:cs="宋体"/>
                <w:sz w:val="24"/>
              </w:rPr>
              <w:t>1</w:t>
            </w:r>
            <w:r>
              <w:rPr>
                <w:rFonts w:ascii="宋体" w:hAnsi="宋体" w:cs="宋体"/>
                <w:sz w:val="24"/>
              </w:rPr>
              <w:t>.</w:t>
            </w:r>
            <w:r>
              <w:rPr>
                <w:rFonts w:hint="eastAsia" w:ascii="宋体" w:hAnsi="宋体" w:cs="宋体"/>
                <w:sz w:val="24"/>
              </w:rPr>
              <w:t>掌握较为扎实的歌</w:t>
            </w:r>
            <w:r>
              <w:rPr>
                <w:rFonts w:ascii="宋体" w:hAnsi="宋体" w:cs="宋体"/>
                <w:sz w:val="24"/>
              </w:rPr>
              <w:t>唱技巧、乐器演奏等</w:t>
            </w:r>
            <w:r>
              <w:rPr>
                <w:rFonts w:hint="eastAsia" w:ascii="宋体" w:hAnsi="宋体" w:cs="宋体"/>
                <w:sz w:val="24"/>
              </w:rPr>
              <w:t>技巧，</w:t>
            </w:r>
            <w:r>
              <w:rPr>
                <w:rFonts w:ascii="宋体" w:hAnsi="宋体" w:cs="宋体"/>
                <w:sz w:val="24"/>
              </w:rPr>
              <w:t>具备较好的舞台表演</w:t>
            </w:r>
            <w:r>
              <w:rPr>
                <w:rFonts w:hint="eastAsia" w:ascii="宋体" w:hAnsi="宋体" w:cs="宋体"/>
                <w:sz w:val="24"/>
              </w:rPr>
              <w:t>能力；</w:t>
            </w:r>
          </w:p>
          <w:p>
            <w:pPr>
              <w:pStyle w:val="15"/>
              <w:spacing w:line="360" w:lineRule="auto"/>
              <w:ind w:firstLine="0" w:firstLineChars="0"/>
              <w:rPr>
                <w:rFonts w:ascii="宋体" w:hAnsi="宋体" w:cs="宋体"/>
                <w:sz w:val="24"/>
              </w:rPr>
            </w:pPr>
            <w:r>
              <w:rPr>
                <w:rFonts w:ascii="宋体" w:hAnsi="宋体" w:cs="宋体"/>
                <w:sz w:val="24"/>
              </w:rPr>
              <w:t>2.</w:t>
            </w:r>
            <w:r>
              <w:rPr>
                <w:rFonts w:hint="eastAsia" w:ascii="宋体" w:hAnsi="宋体" w:cs="宋体"/>
                <w:sz w:val="24"/>
              </w:rPr>
              <w:t>具有较为扎实的</w:t>
            </w:r>
            <w:r>
              <w:rPr>
                <w:rFonts w:ascii="宋体" w:hAnsi="宋体" w:cs="宋体"/>
                <w:sz w:val="24"/>
              </w:rPr>
              <w:t>音乐理论</w:t>
            </w:r>
            <w:r>
              <w:rPr>
                <w:rFonts w:hint="eastAsia" w:ascii="宋体" w:hAnsi="宋体" w:cs="宋体"/>
                <w:sz w:val="24"/>
              </w:rPr>
              <w:t>知识与</w:t>
            </w:r>
            <w:r>
              <w:rPr>
                <w:rFonts w:ascii="宋体" w:hAnsi="宋体" w:cs="宋体"/>
                <w:sz w:val="24"/>
              </w:rPr>
              <w:t>信息技术运用等能力</w:t>
            </w:r>
            <w:r>
              <w:rPr>
                <w:rFonts w:hint="eastAsia" w:ascii="宋体" w:hAnsi="宋体" w:cs="宋体"/>
                <w:sz w:val="24"/>
              </w:rPr>
              <w:t>；</w:t>
            </w:r>
          </w:p>
          <w:p>
            <w:pPr>
              <w:pStyle w:val="15"/>
              <w:spacing w:line="360" w:lineRule="auto"/>
              <w:ind w:firstLine="0" w:firstLineChars="0"/>
              <w:rPr>
                <w:rFonts w:ascii="宋体" w:hAnsi="宋体" w:cs="宋体"/>
                <w:kern w:val="0"/>
                <w:sz w:val="24"/>
              </w:rPr>
            </w:pPr>
            <w:r>
              <w:rPr>
                <w:rFonts w:hint="eastAsia" w:ascii="宋体" w:hAnsi="宋体" w:cs="宋体"/>
                <w:sz w:val="24"/>
              </w:rPr>
              <w:t>3</w:t>
            </w:r>
            <w:r>
              <w:rPr>
                <w:rFonts w:ascii="宋体" w:hAnsi="宋体" w:cs="宋体"/>
                <w:sz w:val="24"/>
              </w:rPr>
              <w:t>.能够从事声乐演唱、器乐演奏、群众文化服务</w:t>
            </w:r>
            <w:r>
              <w:rPr>
                <w:rFonts w:hint="eastAsia" w:ascii="宋体" w:hAnsi="宋体" w:cs="宋体"/>
                <w:sz w:val="24"/>
              </w:rPr>
              <w:t>、艺术活动管理及</w:t>
            </w:r>
            <w:r>
              <w:rPr>
                <w:rFonts w:ascii="宋体" w:hAnsi="宋体" w:cs="宋体"/>
                <w:sz w:val="24"/>
              </w:rPr>
              <w:t>艺术教育培训等工作</w:t>
            </w:r>
            <w:r>
              <w:rPr>
                <w:rFonts w:hint="eastAsia" w:ascii="宋体" w:hAnsi="宋体" w:cs="宋体"/>
                <w:sz w:val="24"/>
              </w:rPr>
              <w:t>。</w:t>
            </w:r>
          </w:p>
        </w:tc>
        <w:tc>
          <w:tcPr>
            <w:tcW w:w="2124" w:type="dxa"/>
            <w:shd w:val="clear" w:color="auto" w:fill="auto"/>
          </w:tcPr>
          <w:p>
            <w:pPr>
              <w:widowControl/>
              <w:spacing w:line="360" w:lineRule="auto"/>
              <w:jc w:val="left"/>
              <w:rPr>
                <w:rFonts w:ascii="宋体" w:hAnsi="宋体" w:cs="宋体"/>
                <w:kern w:val="0"/>
                <w:sz w:val="24"/>
              </w:rPr>
            </w:pPr>
            <w:r>
              <w:rPr>
                <w:rFonts w:hint="eastAsia" w:ascii="宋体" w:hAnsi="宋体" w:cs="宋体"/>
                <w:kern w:val="0"/>
                <w:sz w:val="24"/>
              </w:rPr>
              <w:t>1.负责一般文化艺术机构（或单位相关文化艺术子机构）的表演任务；</w:t>
            </w:r>
          </w:p>
          <w:p>
            <w:pPr>
              <w:widowControl/>
              <w:spacing w:line="360" w:lineRule="auto"/>
              <w:jc w:val="left"/>
              <w:rPr>
                <w:rFonts w:ascii="宋体" w:hAnsi="宋体" w:cs="宋体"/>
                <w:kern w:val="0"/>
                <w:sz w:val="24"/>
              </w:rPr>
            </w:pPr>
            <w:r>
              <w:rPr>
                <w:rFonts w:hint="eastAsia" w:ascii="宋体" w:hAnsi="宋体" w:cs="宋体"/>
                <w:kern w:val="0"/>
                <w:sz w:val="24"/>
              </w:rPr>
              <w:t>2.负责组织、创编、管理一般文化艺术机构（或单位相关文化艺术子机构）的艺术活动、节目创编；</w:t>
            </w:r>
          </w:p>
          <w:p>
            <w:pPr>
              <w:widowControl/>
              <w:spacing w:line="360" w:lineRule="auto"/>
              <w:jc w:val="left"/>
              <w:rPr>
                <w:rFonts w:ascii="宋体" w:hAnsi="宋体" w:cs="宋体"/>
                <w:kern w:val="0"/>
                <w:sz w:val="24"/>
              </w:rPr>
            </w:pPr>
            <w:r>
              <w:rPr>
                <w:rFonts w:hint="eastAsia" w:ascii="宋体" w:hAnsi="宋体" w:cs="宋体"/>
                <w:kern w:val="0"/>
                <w:sz w:val="24"/>
              </w:rPr>
              <w:t>3.负责一般文化艺术机构或教育培训机构的</w:t>
            </w:r>
            <w:r>
              <w:rPr>
                <w:rFonts w:ascii="宋体" w:hAnsi="宋体" w:cs="宋体"/>
                <w:sz w:val="24"/>
              </w:rPr>
              <w:t>群众文化服务</w:t>
            </w:r>
            <w:r>
              <w:rPr>
                <w:rFonts w:hint="eastAsia" w:ascii="宋体" w:hAnsi="宋体" w:cs="宋体"/>
                <w:sz w:val="24"/>
              </w:rPr>
              <w:t>、艺术活动管理及</w:t>
            </w:r>
            <w:r>
              <w:rPr>
                <w:rFonts w:ascii="宋体" w:hAnsi="宋体" w:cs="宋体"/>
                <w:sz w:val="24"/>
              </w:rPr>
              <w:t>艺术教育培训等工作</w:t>
            </w:r>
            <w:r>
              <w:rPr>
                <w:rFonts w:hint="eastAsia" w:ascii="宋体" w:hAnsi="宋体" w:cs="宋体"/>
                <w:kern w:val="0"/>
                <w:sz w:val="24"/>
              </w:rPr>
              <w:t>。</w:t>
            </w:r>
          </w:p>
        </w:tc>
        <w:tc>
          <w:tcPr>
            <w:tcW w:w="1305" w:type="dxa"/>
            <w:shd w:val="clear" w:color="auto" w:fill="auto"/>
          </w:tcPr>
          <w:p>
            <w:pPr>
              <w:widowControl/>
              <w:spacing w:line="360" w:lineRule="auto"/>
              <w:jc w:val="left"/>
              <w:rPr>
                <w:rFonts w:ascii="宋体" w:hAnsi="宋体" w:cs="宋体"/>
                <w:kern w:val="0"/>
                <w:sz w:val="24"/>
              </w:rPr>
            </w:pPr>
            <w:r>
              <w:rPr>
                <w:rFonts w:hint="eastAsia" w:ascii="宋体" w:hAnsi="宋体" w:cs="宋体"/>
                <w:kern w:val="0"/>
                <w:sz w:val="24"/>
              </w:rPr>
              <w:t>《声乐》《钢琴与即兴伴奏》《舞蹈》</w:t>
            </w:r>
          </w:p>
          <w:p>
            <w:pPr>
              <w:widowControl/>
              <w:spacing w:line="360" w:lineRule="auto"/>
              <w:jc w:val="left"/>
              <w:rPr>
                <w:rFonts w:ascii="宋体" w:hAnsi="宋体" w:cs="宋体"/>
                <w:kern w:val="0"/>
                <w:sz w:val="24"/>
              </w:rPr>
            </w:pPr>
            <w:r>
              <w:rPr>
                <w:rFonts w:hint="eastAsia" w:ascii="宋体" w:hAnsi="宋体" w:cs="宋体"/>
                <w:kern w:val="0"/>
                <w:sz w:val="24"/>
              </w:rPr>
              <w:t>《基本乐理》</w:t>
            </w:r>
          </w:p>
          <w:p>
            <w:pPr>
              <w:widowControl/>
              <w:spacing w:line="360" w:lineRule="auto"/>
              <w:jc w:val="left"/>
              <w:rPr>
                <w:rFonts w:ascii="宋体" w:hAnsi="宋体" w:cs="宋体"/>
                <w:kern w:val="0"/>
                <w:sz w:val="24"/>
              </w:rPr>
            </w:pPr>
            <w:r>
              <w:rPr>
                <w:rFonts w:hint="eastAsia" w:ascii="宋体" w:hAnsi="宋体" w:cs="宋体"/>
                <w:kern w:val="0"/>
                <w:sz w:val="24"/>
              </w:rPr>
              <w:t>《合唱指挥》</w:t>
            </w:r>
          </w:p>
          <w:p>
            <w:pPr>
              <w:widowControl/>
              <w:spacing w:line="360" w:lineRule="auto"/>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《舞台表演艺术》</w:t>
            </w:r>
          </w:p>
          <w:p>
            <w:pPr>
              <w:widowControl/>
              <w:spacing w:line="360" w:lineRule="auto"/>
              <w:jc w:val="left"/>
              <w:rPr>
                <w:rFonts w:ascii="宋体" w:hAnsi="宋体" w:cs="宋体"/>
                <w:kern w:val="0"/>
                <w:sz w:val="24"/>
              </w:rPr>
            </w:pPr>
            <w:r>
              <w:rPr>
                <w:rFonts w:hint="eastAsia" w:ascii="宋体" w:hAnsi="宋体" w:cs="宋体"/>
                <w:color w:val="000000" w:themeColor="text1"/>
                <w:sz w:val="24"/>
                <w14:textFill>
                  <w14:solidFill>
                    <w14:schemeClr w14:val="tx1"/>
                  </w14:solidFill>
                </w14:textFill>
              </w:rPr>
              <w:t>《乐团实践》</w:t>
            </w:r>
          </w:p>
          <w:p>
            <w:pPr>
              <w:widowControl/>
              <w:spacing w:line="360" w:lineRule="auto"/>
              <w:jc w:val="left"/>
              <w:rPr>
                <w:rFonts w:ascii="宋体" w:hAnsi="宋体" w:cs="宋体"/>
                <w:kern w:val="0"/>
                <w:sz w:val="24"/>
              </w:rPr>
            </w:pPr>
            <w:r>
              <w:rPr>
                <w:rFonts w:hint="eastAsia" w:ascii="宋体" w:hAnsi="宋体" w:cs="宋体"/>
                <w:color w:val="000000" w:themeColor="text1"/>
                <w:sz w:val="24"/>
                <w14:textFill>
                  <w14:solidFill>
                    <w14:schemeClr w14:val="tx1"/>
                  </w14:solidFill>
                </w14:textFill>
              </w:rPr>
              <w:t>《小学音乐课程与教学论》</w:t>
            </w:r>
          </w:p>
        </w:tc>
        <w:tc>
          <w:tcPr>
            <w:tcW w:w="1703" w:type="dxa"/>
            <w:shd w:val="clear" w:color="auto" w:fill="auto"/>
          </w:tcPr>
          <w:p>
            <w:pPr>
              <w:widowControl/>
              <w:spacing w:line="360" w:lineRule="auto"/>
              <w:jc w:val="left"/>
              <w:rPr>
                <w:rFonts w:ascii="宋体" w:hAnsi="宋体" w:cs="宋体"/>
                <w:kern w:val="0"/>
                <w:sz w:val="24"/>
              </w:rPr>
            </w:pPr>
            <w:r>
              <w:rPr>
                <w:rFonts w:hint="eastAsia" w:ascii="宋体" w:hAnsi="宋体" w:cs="宋体"/>
                <w:kern w:val="0"/>
                <w:sz w:val="24"/>
              </w:rPr>
              <w:t>《声乐》</w:t>
            </w:r>
          </w:p>
          <w:p>
            <w:pPr>
              <w:widowControl/>
              <w:spacing w:line="360" w:lineRule="auto"/>
              <w:jc w:val="left"/>
              <w:rPr>
                <w:rFonts w:ascii="宋体" w:hAnsi="宋体" w:cs="宋体"/>
                <w:kern w:val="0"/>
                <w:sz w:val="24"/>
              </w:rPr>
            </w:pPr>
            <w:r>
              <w:rPr>
                <w:rFonts w:hint="eastAsia" w:ascii="宋体" w:hAnsi="宋体" w:cs="宋体"/>
                <w:kern w:val="0"/>
                <w:sz w:val="24"/>
              </w:rPr>
              <w:t>《钢琴与即兴伴奏》</w:t>
            </w:r>
          </w:p>
          <w:p>
            <w:pPr>
              <w:widowControl/>
              <w:spacing w:line="360" w:lineRule="auto"/>
              <w:jc w:val="left"/>
              <w:rPr>
                <w:rFonts w:ascii="宋体" w:hAnsi="宋体" w:cs="宋体"/>
                <w:kern w:val="0"/>
                <w:sz w:val="24"/>
              </w:rPr>
            </w:pPr>
            <w:r>
              <w:rPr>
                <w:rFonts w:hint="eastAsia" w:ascii="宋体" w:hAnsi="宋体" w:cs="宋体"/>
                <w:kern w:val="0"/>
                <w:sz w:val="24"/>
              </w:rPr>
              <w:t>《舞蹈》</w:t>
            </w:r>
          </w:p>
          <w:p>
            <w:pPr>
              <w:widowControl/>
              <w:spacing w:line="360" w:lineRule="auto"/>
              <w:jc w:val="left"/>
              <w:rPr>
                <w:rFonts w:ascii="宋体" w:hAnsi="宋体" w:cs="宋体"/>
                <w:color w:val="000000" w:themeColor="text1"/>
                <w:sz w:val="24"/>
                <w14:textFill>
                  <w14:solidFill>
                    <w14:schemeClr w14:val="tx1"/>
                  </w14:solidFill>
                </w14:textFill>
              </w:rPr>
            </w:pPr>
            <w:r>
              <w:rPr>
                <w:rFonts w:hint="eastAsia" w:ascii="宋体" w:hAnsi="宋体" w:cs="宋体"/>
                <w:kern w:val="0"/>
                <w:sz w:val="24"/>
              </w:rPr>
              <w:t>《基本乐理》《合唱指挥》</w:t>
            </w:r>
            <w:r>
              <w:rPr>
                <w:rFonts w:hint="eastAsia" w:ascii="宋体" w:hAnsi="宋体" w:cs="宋体"/>
                <w:color w:val="000000" w:themeColor="text1"/>
                <w:sz w:val="24"/>
                <w14:textFill>
                  <w14:solidFill>
                    <w14:schemeClr w14:val="tx1"/>
                  </w14:solidFill>
                </w14:textFill>
              </w:rPr>
              <w:t>《舞台表演艺术》</w:t>
            </w:r>
          </w:p>
          <w:p>
            <w:pPr>
              <w:widowControl/>
              <w:spacing w:line="360" w:lineRule="auto"/>
              <w:jc w:val="left"/>
              <w:rPr>
                <w:rFonts w:ascii="宋体" w:hAnsi="宋体" w:cs="宋体"/>
                <w:kern w:val="0"/>
                <w:sz w:val="24"/>
              </w:rPr>
            </w:pPr>
            <w:r>
              <w:rPr>
                <w:rFonts w:hint="eastAsia" w:ascii="宋体" w:hAnsi="宋体" w:cs="宋体"/>
                <w:color w:val="000000" w:themeColor="text1"/>
                <w:sz w:val="24"/>
                <w14:textFill>
                  <w14:solidFill>
                    <w14:schemeClr w14:val="tx1"/>
                  </w14:solidFill>
                </w14:textFill>
              </w:rPr>
              <w:t>《乐团实践》</w:t>
            </w:r>
          </w:p>
          <w:p>
            <w:pPr>
              <w:widowControl/>
              <w:spacing w:line="360" w:lineRule="auto"/>
              <w:jc w:val="left"/>
              <w:rPr>
                <w:rFonts w:ascii="宋体" w:hAnsi="宋体" w:cs="宋体"/>
                <w:kern w:val="0"/>
                <w:sz w:val="24"/>
              </w:rPr>
            </w:pPr>
            <w:r>
              <w:rPr>
                <w:rFonts w:hint="eastAsia" w:ascii="宋体" w:hAnsi="宋体" w:cs="宋体"/>
                <w:color w:val="000000" w:themeColor="text1"/>
                <w:sz w:val="24"/>
                <w14:textFill>
                  <w14:solidFill>
                    <w14:schemeClr w14:val="tx1"/>
                  </w14:solidFill>
                </w14:textFill>
              </w:rPr>
              <w:t>《小学音乐课程与教学论》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52" w:type="dxa"/>
            <w:shd w:val="clear" w:color="auto" w:fill="auto"/>
          </w:tcPr>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艺术培训中心教师</w:t>
            </w:r>
          </w:p>
        </w:tc>
        <w:tc>
          <w:tcPr>
            <w:tcW w:w="4236" w:type="dxa"/>
            <w:shd w:val="clear" w:color="auto" w:fill="auto"/>
          </w:tcPr>
          <w:p>
            <w:pPr>
              <w:pStyle w:val="15"/>
              <w:spacing w:line="360" w:lineRule="auto"/>
              <w:ind w:firstLine="0" w:firstLineChars="0"/>
              <w:rPr>
                <w:rFonts w:ascii="宋体" w:hAnsi="宋体" w:cs="宋体"/>
                <w:sz w:val="24"/>
              </w:rPr>
            </w:pPr>
            <w:r>
              <w:rPr>
                <w:rFonts w:hint="eastAsia" w:ascii="宋体" w:hAnsi="宋体" w:cs="宋体"/>
                <w:sz w:val="24"/>
              </w:rPr>
              <w:t>1.具备独立备课，组织小学、幼儿园课堂教学，开展音乐活动课的能力；</w:t>
            </w:r>
          </w:p>
          <w:p>
            <w:pPr>
              <w:pStyle w:val="15"/>
              <w:spacing w:line="360" w:lineRule="auto"/>
              <w:ind w:firstLine="0" w:firstLineChars="0"/>
              <w:rPr>
                <w:rFonts w:ascii="宋体" w:hAnsi="宋体" w:cs="宋体"/>
                <w:sz w:val="24"/>
              </w:rPr>
            </w:pPr>
            <w:r>
              <w:rPr>
                <w:rFonts w:hint="eastAsia" w:ascii="宋体" w:hAnsi="宋体" w:cs="宋体"/>
                <w:sz w:val="24"/>
              </w:rPr>
              <w:t>2.具备钢琴即兴伴奏与歌曲弹唱的能力；</w:t>
            </w:r>
          </w:p>
          <w:p>
            <w:pPr>
              <w:pStyle w:val="15"/>
              <w:spacing w:line="360" w:lineRule="auto"/>
              <w:ind w:firstLine="0" w:firstLineChars="0"/>
              <w:jc w:val="left"/>
              <w:rPr>
                <w:rFonts w:ascii="宋体" w:hAnsi="宋体" w:cs="宋体"/>
                <w:sz w:val="24"/>
              </w:rPr>
            </w:pPr>
            <w:r>
              <w:rPr>
                <w:rFonts w:hint="eastAsia" w:ascii="宋体" w:hAnsi="宋体" w:cs="宋体"/>
                <w:sz w:val="24"/>
              </w:rPr>
              <w:t>3.掌握一定的声乐演唱，钢琴及其它器乐演奏、舞蹈表演、合唱指挥的能力；</w:t>
            </w:r>
          </w:p>
          <w:p>
            <w:pPr>
              <w:pStyle w:val="15"/>
              <w:spacing w:line="360" w:lineRule="auto"/>
              <w:ind w:firstLine="0" w:firstLineChars="0"/>
              <w:rPr>
                <w:rFonts w:ascii="宋体" w:hAnsi="宋体" w:cs="宋体"/>
                <w:sz w:val="24"/>
              </w:rPr>
            </w:pPr>
            <w:r>
              <w:rPr>
                <w:rFonts w:hint="eastAsia" w:ascii="宋体" w:hAnsi="宋体" w:cs="宋体"/>
                <w:sz w:val="24"/>
              </w:rPr>
              <w:t>4.具备较强的开展音乐教育教学活动能力和有效地运用理论分析和解决问题的能力；具有一定的创新能力，专业化发展能力与教育科研能力。</w:t>
            </w:r>
          </w:p>
          <w:p>
            <w:pPr>
              <w:pStyle w:val="15"/>
              <w:widowControl/>
              <w:spacing w:line="360" w:lineRule="auto"/>
              <w:ind w:left="360" w:firstLine="0" w:firstLineChars="0"/>
              <w:jc w:val="left"/>
              <w:rPr>
                <w:rFonts w:ascii="宋体" w:hAnsi="宋体" w:cs="宋体"/>
                <w:kern w:val="0"/>
                <w:sz w:val="24"/>
              </w:rPr>
            </w:pPr>
          </w:p>
        </w:tc>
        <w:tc>
          <w:tcPr>
            <w:tcW w:w="2124" w:type="dxa"/>
            <w:shd w:val="clear" w:color="auto" w:fill="auto"/>
          </w:tcPr>
          <w:p>
            <w:pPr>
              <w:widowControl/>
              <w:spacing w:line="360" w:lineRule="auto"/>
              <w:jc w:val="left"/>
              <w:rPr>
                <w:rFonts w:ascii="宋体" w:hAnsi="宋体" w:cs="宋体"/>
                <w:kern w:val="0"/>
                <w:sz w:val="24"/>
              </w:rPr>
            </w:pPr>
            <w:r>
              <w:rPr>
                <w:rFonts w:hint="eastAsia" w:ascii="宋体" w:hAnsi="宋体" w:cs="宋体"/>
                <w:kern w:val="0"/>
                <w:sz w:val="24"/>
              </w:rPr>
              <w:t>1.负责正常的中小学幼儿园音乐课程的授课任务与艺术活动组织；</w:t>
            </w:r>
          </w:p>
          <w:p>
            <w:pPr>
              <w:widowControl/>
              <w:spacing w:line="360" w:lineRule="auto"/>
              <w:jc w:val="left"/>
              <w:rPr>
                <w:rFonts w:ascii="宋体" w:hAnsi="宋体" w:cs="宋体"/>
                <w:kern w:val="0"/>
                <w:sz w:val="24"/>
              </w:rPr>
            </w:pPr>
            <w:r>
              <w:rPr>
                <w:rFonts w:hint="eastAsia" w:ascii="宋体" w:hAnsi="宋体" w:cs="宋体"/>
                <w:kern w:val="0"/>
                <w:sz w:val="24"/>
              </w:rPr>
              <w:t>2.负责组织社会音乐培训与艺术活动；</w:t>
            </w:r>
          </w:p>
          <w:p>
            <w:pPr>
              <w:widowControl/>
              <w:spacing w:line="360" w:lineRule="auto"/>
              <w:jc w:val="left"/>
              <w:rPr>
                <w:rFonts w:ascii="宋体" w:hAnsi="宋体" w:cs="宋体"/>
                <w:kern w:val="0"/>
                <w:sz w:val="24"/>
              </w:rPr>
            </w:pPr>
            <w:r>
              <w:rPr>
                <w:rFonts w:hint="eastAsia" w:ascii="宋体" w:hAnsi="宋体" w:cs="宋体"/>
                <w:kern w:val="0"/>
                <w:sz w:val="24"/>
              </w:rPr>
              <w:t>3.负责中小学、幼儿园的各活动是节目创编；</w:t>
            </w:r>
          </w:p>
          <w:p>
            <w:pPr>
              <w:widowControl/>
              <w:spacing w:line="360" w:lineRule="auto"/>
              <w:jc w:val="left"/>
              <w:rPr>
                <w:rFonts w:ascii="宋体" w:hAnsi="宋体" w:cs="宋体"/>
                <w:kern w:val="0"/>
                <w:sz w:val="24"/>
              </w:rPr>
            </w:pPr>
            <w:r>
              <w:rPr>
                <w:rFonts w:hint="eastAsia" w:ascii="宋体" w:hAnsi="宋体" w:cs="宋体"/>
                <w:kern w:val="0"/>
                <w:sz w:val="24"/>
              </w:rPr>
              <w:t>4.负责中小学、幼儿园的美育教育教学开展</w:t>
            </w:r>
          </w:p>
        </w:tc>
        <w:tc>
          <w:tcPr>
            <w:tcW w:w="1305" w:type="dxa"/>
            <w:shd w:val="clear" w:color="auto" w:fill="auto"/>
          </w:tcPr>
          <w:p>
            <w:pPr>
              <w:widowControl/>
              <w:spacing w:line="360" w:lineRule="auto"/>
              <w:jc w:val="left"/>
              <w:rPr>
                <w:rFonts w:ascii="宋体" w:hAnsi="宋体" w:cs="宋体"/>
                <w:kern w:val="0"/>
                <w:sz w:val="24"/>
              </w:rPr>
            </w:pPr>
            <w:r>
              <w:rPr>
                <w:rFonts w:hint="eastAsia" w:ascii="宋体" w:hAnsi="宋体" w:cs="宋体"/>
                <w:kern w:val="0"/>
                <w:sz w:val="24"/>
              </w:rPr>
              <w:t>《声乐》《钢琴》《舞蹈》</w:t>
            </w:r>
          </w:p>
          <w:p>
            <w:pPr>
              <w:pStyle w:val="15"/>
              <w:widowControl/>
              <w:spacing w:line="360" w:lineRule="auto"/>
              <w:ind w:firstLine="0" w:firstLineChars="0"/>
              <w:jc w:val="left"/>
              <w:rPr>
                <w:rFonts w:ascii="宋体" w:hAnsi="宋体" w:cs="宋体"/>
                <w:kern w:val="0"/>
                <w:sz w:val="24"/>
              </w:rPr>
            </w:pPr>
            <w:r>
              <w:rPr>
                <w:rFonts w:hint="eastAsia" w:ascii="宋体" w:hAnsi="宋体" w:cs="宋体"/>
                <w:kern w:val="0"/>
                <w:sz w:val="24"/>
              </w:rPr>
              <w:t>《基本乐理》</w:t>
            </w:r>
          </w:p>
          <w:p>
            <w:pPr>
              <w:pStyle w:val="15"/>
              <w:widowControl/>
              <w:spacing w:line="360" w:lineRule="auto"/>
              <w:ind w:firstLine="0" w:firstLineChars="0"/>
              <w:jc w:val="left"/>
              <w:rPr>
                <w:rFonts w:ascii="宋体" w:hAnsi="宋体" w:cs="宋体"/>
                <w:kern w:val="0"/>
                <w:sz w:val="24"/>
              </w:rPr>
            </w:pPr>
            <w:r>
              <w:rPr>
                <w:rFonts w:hint="eastAsia" w:ascii="宋体" w:hAnsi="宋体" w:cs="宋体"/>
                <w:kern w:val="0"/>
                <w:sz w:val="24"/>
              </w:rPr>
              <w:t>《合唱指挥》</w:t>
            </w:r>
          </w:p>
          <w:p>
            <w:pPr>
              <w:pStyle w:val="15"/>
              <w:widowControl/>
              <w:spacing w:line="360" w:lineRule="auto"/>
              <w:ind w:firstLine="0" w:firstLineChars="0"/>
              <w:jc w:val="left"/>
              <w:rPr>
                <w:rFonts w:ascii="宋体" w:hAnsi="宋体" w:cs="宋体"/>
                <w:kern w:val="0"/>
                <w:sz w:val="24"/>
              </w:rPr>
            </w:pPr>
            <w:r>
              <w:rPr>
                <w:rFonts w:hint="eastAsia" w:ascii="宋体" w:hAnsi="宋体" w:cs="宋体"/>
                <w:color w:val="000000" w:themeColor="text1"/>
                <w:sz w:val="24"/>
                <w14:textFill>
                  <w14:solidFill>
                    <w14:schemeClr w14:val="tx1"/>
                  </w14:solidFill>
                </w14:textFill>
              </w:rPr>
              <w:t>《小学音乐课程与教学论》</w:t>
            </w:r>
          </w:p>
        </w:tc>
        <w:tc>
          <w:tcPr>
            <w:tcW w:w="1703" w:type="dxa"/>
            <w:shd w:val="clear" w:color="auto" w:fill="auto"/>
          </w:tcPr>
          <w:p>
            <w:pPr>
              <w:widowControl/>
              <w:spacing w:line="360" w:lineRule="auto"/>
              <w:jc w:val="left"/>
              <w:rPr>
                <w:rFonts w:ascii="宋体" w:hAnsi="宋体" w:cs="宋体"/>
                <w:kern w:val="0"/>
                <w:sz w:val="24"/>
              </w:rPr>
            </w:pPr>
          </w:p>
        </w:tc>
      </w:tr>
    </w:tbl>
    <w:p>
      <w:pPr>
        <w:spacing w:line="360" w:lineRule="auto"/>
        <w:ind w:firstLine="480" w:firstLineChars="200"/>
        <w:rPr>
          <w:rStyle w:val="8"/>
          <w:rFonts w:ascii="宋体" w:hAnsi="宋体" w:cs="宋体"/>
          <w:b w:val="0"/>
          <w:bCs w:val="0"/>
          <w:color w:val="FF0000"/>
          <w:sz w:val="24"/>
        </w:rPr>
      </w:pPr>
    </w:p>
    <w:p>
      <w:pPr>
        <w:spacing w:line="360" w:lineRule="auto"/>
        <w:ind w:firstLine="477" w:firstLineChars="198"/>
        <w:rPr>
          <w:rStyle w:val="8"/>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五</w:t>
      </w:r>
      <w:r>
        <w:rPr>
          <w:rFonts w:hint="eastAsia" w:ascii="宋体" w:hAnsi="宋体" w:cs="宋体"/>
          <w:color w:val="000000" w:themeColor="text1"/>
          <w:sz w:val="24"/>
          <w14:textFill>
            <w14:solidFill>
              <w14:schemeClr w14:val="tx1"/>
            </w14:solidFill>
          </w14:textFill>
        </w:rPr>
        <w:t>、</w:t>
      </w:r>
      <w:r>
        <w:rPr>
          <w:rStyle w:val="8"/>
          <w:rFonts w:hint="eastAsia" w:ascii="宋体" w:hAnsi="宋体" w:cs="宋体"/>
          <w:color w:val="000000" w:themeColor="text1"/>
          <w:sz w:val="24"/>
          <w14:textFill>
            <w14:solidFill>
              <w14:schemeClr w14:val="tx1"/>
            </w14:solidFill>
          </w14:textFill>
        </w:rPr>
        <w:t>培养目标</w:t>
      </w:r>
    </w:p>
    <w:p>
      <w:pPr>
        <w:spacing w:line="360" w:lineRule="auto"/>
        <w:ind w:firstLine="480" w:firstLineChars="200"/>
        <w:rPr>
          <w:rFonts w:ascii="宋体" w:hAnsi="宋体" w:cs="宋体"/>
          <w:b/>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专业培养德智体美劳全面发展，掌握扎实的科学文化基础和音乐理论、歌唱技巧、乐器演奏等知识，具备较好的舞台表演、音乐鉴赏和信息技术运用等能力，具有精益求精、守正创新的精神和信息素养，能够从事声乐演唱、器乐演奏、群众文化服务和艺术教育培训等工作的高素质技术技能人才。</w:t>
      </w:r>
    </w:p>
    <w:p>
      <w:pPr>
        <w:spacing w:line="360" w:lineRule="auto"/>
        <w:ind w:firstLine="477" w:firstLineChars="198"/>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六、</w:t>
      </w:r>
      <w:r>
        <w:rPr>
          <w:rStyle w:val="8"/>
          <w:rFonts w:hint="eastAsia" w:ascii="宋体" w:hAnsi="宋体" w:cs="宋体"/>
          <w:color w:val="000000" w:themeColor="text1"/>
          <w:sz w:val="24"/>
          <w14:textFill>
            <w14:solidFill>
              <w14:schemeClr w14:val="tx1"/>
            </w14:solidFill>
          </w14:textFill>
        </w:rPr>
        <w:t>培养规格</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（一）素质</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1.</w:t>
      </w:r>
      <w:r>
        <w:rPr>
          <w:rFonts w:hint="eastAsia" w:ascii="宋体" w:hAnsi="宋体" w:cs="宋体"/>
          <w:color w:val="000000" w:themeColor="text1"/>
          <w:sz w:val="24"/>
          <w14:textFill>
            <w14:solidFill>
              <w14:schemeClr w14:val="tx1"/>
            </w14:solidFill>
          </w14:textFill>
        </w:rPr>
        <w:t>坚定拥护中国共产党领导和我国社会主义制度,在习近平新时代中国特色社会主义思想指引下,践行社会主义核心价值观,具有深厚的爱国情感和中华民族自豪感。</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14:textFill>
            <w14:solidFill>
              <w14:schemeClr w14:val="tx1"/>
            </w14:solidFill>
          </w14:textFill>
        </w:rPr>
        <w:t>崇尚宪法、遵法守纪、崇德向善、诚实守信、尊重生命、热爱劳动,履行道德准则和行为规范,具有社会责任感和社会参与意识。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具有质量意识、环保意识、安全意识、信息素养、工匠精神、创新思维。</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4.</w:t>
      </w:r>
      <w:r>
        <w:rPr>
          <w:rFonts w:hint="eastAsia" w:ascii="宋体" w:hAnsi="宋体" w:cs="宋体"/>
          <w:color w:val="000000" w:themeColor="text1"/>
          <w:sz w:val="24"/>
          <w14:textFill>
            <w14:solidFill>
              <w14:schemeClr w14:val="tx1"/>
            </w14:solidFill>
          </w14:textFill>
        </w:rPr>
        <w:t>勇于奋斗、乐观向上,具有自我管理能力、职业生涯规划的意识,有较强的集体意识和团队合作精神。</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5.</w:t>
      </w:r>
      <w:r>
        <w:rPr>
          <w:rFonts w:hint="eastAsia" w:ascii="宋体" w:hAnsi="宋体" w:cs="宋体"/>
          <w:color w:val="000000" w:themeColor="text1"/>
          <w:sz w:val="24"/>
          <w14:textFill>
            <w14:solidFill>
              <w14:schemeClr w14:val="tx1"/>
            </w14:solidFill>
          </w14:textFill>
        </w:rPr>
        <w:t>具有健康的体魄、心理和健全的人格,掌握基本运动知识和1~2项运动技能,养成良好的健身与卫生习惯,以及良好的行为习惯。</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具有一定的审美和人文素养,能够形成1~2项艺术特长或爱好。</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（二）知识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1.</w:t>
      </w:r>
      <w:r>
        <w:rPr>
          <w:rFonts w:hint="eastAsia" w:ascii="宋体" w:hAnsi="宋体" w:cs="宋体"/>
          <w:color w:val="000000" w:themeColor="text1"/>
          <w:sz w:val="24"/>
          <w14:textFill>
            <w14:solidFill>
              <w14:schemeClr w14:val="tx1"/>
            </w14:solidFill>
          </w14:textFill>
        </w:rPr>
        <w:t>掌握必备的思想政治理论、科学文化基础知识和中华优秀传统文化知识。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14:textFill>
            <w14:solidFill>
              <w14:schemeClr w14:val="tx1"/>
            </w14:solidFill>
          </w14:textFill>
        </w:rPr>
        <w:t>熟悉与本专业相关的法律法规以及环境保护、安全消防等知识。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掌握音乐基本乐理、视唱练耳、多声部音乐等基础理论知识。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4.</w:t>
      </w:r>
      <w:r>
        <w:rPr>
          <w:rFonts w:hint="eastAsia" w:ascii="宋体" w:hAnsi="宋体" w:cs="宋体"/>
          <w:color w:val="000000" w:themeColor="text1"/>
          <w:sz w:val="24"/>
          <w14:textFill>
            <w14:solidFill>
              <w14:schemeClr w14:val="tx1"/>
            </w14:solidFill>
          </w14:textFill>
        </w:rPr>
        <w:t>掌握声乐演唱和合唱的基础理论知识。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5.</w:t>
      </w:r>
      <w:r>
        <w:rPr>
          <w:rFonts w:hint="eastAsia" w:ascii="宋体" w:hAnsi="宋体" w:cs="宋体"/>
          <w:color w:val="000000" w:themeColor="text1"/>
          <w:sz w:val="24"/>
          <w14:textFill>
            <w14:solidFill>
              <w14:schemeClr w14:val="tx1"/>
            </w14:solidFill>
          </w14:textFill>
        </w:rPr>
        <w:t>掌握器乐演奏和合奏的基础理论知识。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掌握音乐作品分析与歌曲写作等音乐理论知识。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7.</w:t>
      </w:r>
      <w:r>
        <w:rPr>
          <w:rFonts w:hint="eastAsia" w:ascii="宋体" w:hAnsi="宋体" w:cs="宋体"/>
          <w:color w:val="000000" w:themeColor="text1"/>
          <w:sz w:val="24"/>
          <w14:textFill>
            <w14:solidFill>
              <w14:schemeClr w14:val="tx1"/>
            </w14:solidFill>
          </w14:textFill>
        </w:rPr>
        <w:t>熟悉中西方音乐的发展脉络、风格流派及代表作品。</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8.</w:t>
      </w:r>
      <w:r>
        <w:rPr>
          <w:rFonts w:hint="eastAsia" w:ascii="宋体" w:hAnsi="宋体" w:cs="宋体"/>
          <w:color w:val="000000" w:themeColor="text1"/>
          <w:sz w:val="24"/>
          <w14:textFill>
            <w14:solidFill>
              <w14:schemeClr w14:val="tx1"/>
            </w14:solidFill>
          </w14:textFill>
        </w:rPr>
        <w:t>熟悉群众文化活动策划知识和方法。</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9.</w:t>
      </w:r>
      <w:r>
        <w:rPr>
          <w:rFonts w:hint="eastAsia" w:ascii="宋体" w:hAnsi="宋体" w:cs="宋体"/>
          <w:color w:val="000000" w:themeColor="text1"/>
          <w:sz w:val="24"/>
          <w14:textFill>
            <w14:solidFill>
              <w14:schemeClr w14:val="tx1"/>
            </w14:solidFill>
          </w14:textFill>
        </w:rPr>
        <w:t>了解音乐表演教学相关理论知识。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10.</w:t>
      </w:r>
      <w:r>
        <w:rPr>
          <w:rFonts w:hint="eastAsia" w:ascii="宋体" w:hAnsi="宋体" w:cs="宋体"/>
          <w:color w:val="000000" w:themeColor="text1"/>
          <w:sz w:val="24"/>
          <w14:textFill>
            <w14:solidFill>
              <w14:schemeClr w14:val="tx1"/>
            </w14:solidFill>
          </w14:textFill>
        </w:rPr>
        <w:t>了解艺术学以及其他艺术门类基础知识。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（三）能力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1.</w:t>
      </w:r>
      <w:r>
        <w:rPr>
          <w:rFonts w:hint="eastAsia" w:ascii="宋体" w:hAnsi="宋体" w:cs="宋体"/>
          <w:color w:val="000000" w:themeColor="text1"/>
          <w:sz w:val="24"/>
          <w14:textFill>
            <w14:solidFill>
              <w14:schemeClr w14:val="tx1"/>
            </w14:solidFill>
          </w14:textFill>
        </w:rPr>
        <w:t>具有探究学习、终身学习、分析问题和解决问题的能力。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14:textFill>
            <w14:solidFill>
              <w14:schemeClr w14:val="tx1"/>
            </w14:solidFill>
          </w14:textFill>
        </w:rPr>
        <w:t>具有良好的语言、文字表达能力和沟通能力。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具有较好地运用计算机处理文字、表格、图像等的基础能力以及艺术专业学习与</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实践中必需的计算机应用能力。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4.</w:t>
      </w:r>
      <w:r>
        <w:rPr>
          <w:rFonts w:hint="eastAsia" w:ascii="宋体" w:hAnsi="宋体" w:cs="宋体"/>
          <w:color w:val="000000" w:themeColor="text1"/>
          <w:sz w:val="24"/>
          <w14:textFill>
            <w14:solidFill>
              <w14:schemeClr w14:val="tx1"/>
            </w14:solidFill>
          </w14:textFill>
        </w:rPr>
        <w:t>具有熟练的演唱技能和表演能力。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5.</w:t>
      </w:r>
      <w:r>
        <w:rPr>
          <w:rFonts w:hint="eastAsia" w:ascii="宋体" w:hAnsi="宋体" w:cs="宋体"/>
          <w:color w:val="000000" w:themeColor="text1"/>
          <w:sz w:val="24"/>
          <w14:textFill>
            <w14:solidFill>
              <w14:schemeClr w14:val="tx1"/>
            </w14:solidFill>
          </w14:textFill>
        </w:rPr>
        <w:t>具有熟练演奏技能和表演能力。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具有良好的听辨能力、音乐分析能力和音乐鉴赏能力。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7.</w:t>
      </w:r>
      <w:r>
        <w:rPr>
          <w:rFonts w:hint="eastAsia" w:ascii="宋体" w:hAnsi="宋体" w:cs="宋体"/>
          <w:color w:val="000000" w:themeColor="text1"/>
          <w:sz w:val="24"/>
          <w14:textFill>
            <w14:solidFill>
              <w14:schemeClr w14:val="tx1"/>
            </w14:solidFill>
          </w14:textFill>
        </w:rPr>
        <w:t>具有一定的伴奏和合奏、合唱能力。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8.</w:t>
      </w:r>
      <w:r>
        <w:rPr>
          <w:rFonts w:hint="eastAsia" w:ascii="宋体" w:hAnsi="宋体" w:cs="宋体"/>
          <w:color w:val="000000" w:themeColor="text1"/>
          <w:sz w:val="24"/>
          <w14:textFill>
            <w14:solidFill>
              <w14:schemeClr w14:val="tx1"/>
            </w14:solidFill>
          </w14:textFill>
        </w:rPr>
        <w:t>具有一定的音乐表演专业教学辅导能力。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9.</w:t>
      </w:r>
      <w:r>
        <w:rPr>
          <w:rFonts w:hint="eastAsia" w:ascii="宋体" w:hAnsi="宋体" w:cs="宋体"/>
          <w:color w:val="000000" w:themeColor="text1"/>
          <w:sz w:val="24"/>
          <w14:textFill>
            <w14:solidFill>
              <w14:schemeClr w14:val="tx1"/>
            </w14:solidFill>
          </w14:textFill>
        </w:rPr>
        <w:t>具有一定的群众文化活动组织、策划、指导能力。</w:t>
      </w:r>
    </w:p>
    <w:p>
      <w:pPr>
        <w:spacing w:line="360" w:lineRule="auto"/>
        <w:ind w:firstLine="477" w:firstLineChars="198"/>
        <w:rPr>
          <w:rFonts w:ascii="宋体" w:hAnsi="宋体" w:cs="宋体"/>
          <w:b/>
          <w:sz w:val="24"/>
        </w:rPr>
      </w:pPr>
      <w:r>
        <w:rPr>
          <w:rFonts w:hint="eastAsia" w:ascii="宋体" w:hAnsi="宋体" w:cs="宋体"/>
          <w:b/>
          <w:sz w:val="24"/>
        </w:rPr>
        <w:t>七、毕业要求</w:t>
      </w:r>
    </w:p>
    <w:p>
      <w:pPr>
        <w:spacing w:line="360" w:lineRule="auto"/>
        <w:ind w:firstLine="475" w:firstLineChars="198"/>
        <w:rPr>
          <w:rFonts w:ascii="宋体" w:hAnsi="宋体" w:cs="宋体"/>
          <w:sz w:val="24"/>
        </w:rPr>
      </w:pPr>
      <w:r>
        <w:rPr>
          <w:rFonts w:hint="eastAsia" w:ascii="宋体" w:hAnsi="宋体" w:cs="宋体"/>
          <w:sz w:val="24"/>
        </w:rPr>
        <w:t>（一）毕业要求</w:t>
      </w:r>
    </w:p>
    <w:p>
      <w:pPr>
        <w:spacing w:line="360" w:lineRule="auto"/>
        <w:ind w:firstLine="475" w:firstLineChars="198"/>
        <w:rPr>
          <w:rFonts w:ascii="宋体" w:hAnsi="宋体" w:cs="宋体"/>
          <w:sz w:val="24"/>
        </w:rPr>
      </w:pPr>
      <w:r>
        <w:rPr>
          <w:rFonts w:hint="eastAsia" w:ascii="宋体" w:hAnsi="宋体" w:cs="宋体"/>
          <w:sz w:val="24"/>
        </w:rPr>
        <w:t>1.修满音乐表演专业人才培养方案规定的170学分，具备良好的思想和身体素质，符合学校规定的德育学分，《国家学生体质健康标准》综合成绩合格，毕业答辩成绩合格、实践环节合格。无学校有关学籍管理中规定的不准予毕业的相关记录。</w:t>
      </w:r>
    </w:p>
    <w:p>
      <w:pPr>
        <w:spacing w:line="360" w:lineRule="auto"/>
        <w:ind w:firstLine="475" w:firstLineChars="198"/>
        <w:rPr>
          <w:rFonts w:ascii="宋体" w:hAnsi="宋体" w:cs="宋体"/>
          <w:sz w:val="24"/>
        </w:rPr>
      </w:pPr>
      <w:r>
        <w:rPr>
          <w:rFonts w:hint="eastAsia" w:ascii="宋体" w:hAnsi="宋体" w:cs="宋体"/>
          <w:sz w:val="24"/>
        </w:rPr>
        <w:t>2.具有坚定的政治立场，正确的人生观、世界观以及良好的职业道德，较高的人文素质、专业素质和身心素质，自觉践行社会主义核心价值观，符合国家对专科人才培养规格的基本要求。</w:t>
      </w:r>
    </w:p>
    <w:p>
      <w:pPr>
        <w:spacing w:line="360" w:lineRule="auto"/>
        <w:ind w:firstLine="475" w:firstLineChars="198"/>
        <w:rPr>
          <w:rFonts w:ascii="宋体" w:hAnsi="宋体" w:cs="宋体"/>
          <w:sz w:val="24"/>
        </w:rPr>
      </w:pPr>
      <w:r>
        <w:rPr>
          <w:rFonts w:hint="eastAsia" w:ascii="宋体" w:hAnsi="宋体" w:cs="宋体"/>
          <w:sz w:val="24"/>
        </w:rPr>
        <w:t>3.具有丰富的音乐文化基础知识、具有良好的专业知识和相邻学科知识，专业基础扎实、知识结构合理。</w:t>
      </w:r>
    </w:p>
    <w:p>
      <w:pPr>
        <w:spacing w:line="360" w:lineRule="auto"/>
        <w:ind w:firstLine="475" w:firstLineChars="198"/>
        <w:rPr>
          <w:rFonts w:ascii="宋体" w:hAnsi="宋体" w:cs="宋体"/>
          <w:sz w:val="24"/>
        </w:rPr>
      </w:pPr>
      <w:r>
        <w:rPr>
          <w:rFonts w:hint="eastAsia" w:ascii="宋体" w:hAnsi="宋体" w:cs="宋体"/>
          <w:sz w:val="24"/>
        </w:rPr>
        <w:t>4.具有较强的知识应用能力、创新创业能力、职场竞争能力、社会适应能力、可持续发展能力，有良好的语言沟通能力。</w:t>
      </w:r>
    </w:p>
    <w:p>
      <w:pPr>
        <w:spacing w:line="360" w:lineRule="auto"/>
        <w:ind w:firstLine="475" w:firstLineChars="198"/>
        <w:rPr>
          <w:rFonts w:ascii="宋体" w:hAnsi="宋体" w:cs="宋体"/>
          <w:sz w:val="24"/>
        </w:rPr>
      </w:pPr>
      <w:r>
        <w:rPr>
          <w:rFonts w:hint="eastAsia" w:ascii="宋体" w:hAnsi="宋体" w:cs="宋体"/>
          <w:sz w:val="24"/>
        </w:rPr>
        <w:t>5.了解和掌握本行业的发展方向和技术发展前沿，有良好的资源整合能力，信息收集与处理能力，具备音乐表演行业的职业任职资格。</w:t>
      </w:r>
    </w:p>
    <w:p>
      <w:pPr>
        <w:spacing w:line="360" w:lineRule="auto"/>
        <w:ind w:firstLine="475" w:firstLineChars="198"/>
        <w:rPr>
          <w:rFonts w:ascii="宋体" w:hAnsi="宋体" w:cs="宋体"/>
          <w:sz w:val="24"/>
        </w:rPr>
      </w:pPr>
      <w:r>
        <w:rPr>
          <w:rFonts w:hint="eastAsia" w:ascii="宋体" w:hAnsi="宋体" w:cs="宋体"/>
          <w:sz w:val="24"/>
        </w:rPr>
        <w:t>6．掌握各项声乐、器乐专业相关技能，技术技巧基础扎实、方法正规，能胜任表演类相关工作，满足所从事音乐工作的需要。</w:t>
      </w:r>
    </w:p>
    <w:p>
      <w:pPr>
        <w:spacing w:line="360" w:lineRule="auto"/>
        <w:ind w:firstLine="475" w:firstLineChars="198"/>
        <w:rPr>
          <w:rFonts w:ascii="宋体" w:hAnsi="宋体" w:cs="宋体"/>
          <w:sz w:val="24"/>
        </w:rPr>
      </w:pPr>
      <w:r>
        <w:rPr>
          <w:rFonts w:hint="eastAsia" w:ascii="宋体" w:hAnsi="宋体" w:cs="宋体"/>
          <w:sz w:val="24"/>
        </w:rPr>
        <w:t>7．具有一定的流行音乐表演艺术实践能力，能参与舞台表演实践。</w:t>
      </w:r>
    </w:p>
    <w:p>
      <w:pPr>
        <w:spacing w:line="360" w:lineRule="auto"/>
        <w:ind w:firstLine="475" w:firstLineChars="198"/>
        <w:rPr>
          <w:rFonts w:ascii="宋体" w:hAnsi="宋体" w:cs="宋体"/>
          <w:color w:val="FF0000"/>
          <w:sz w:val="24"/>
        </w:rPr>
      </w:pPr>
      <w:r>
        <w:rPr>
          <w:rFonts w:hint="eastAsia" w:ascii="宋体" w:hAnsi="宋体" w:cs="宋体"/>
          <w:sz w:val="24"/>
        </w:rPr>
        <w:t>（二）项目替代学分。比赛获奖、考证、参加项目开发等根据专业认定可以替换专业非核心岗位课程学分。替换学分不得超过10学分。</w:t>
      </w:r>
    </w:p>
    <w:p>
      <w:pPr>
        <w:spacing w:line="360" w:lineRule="auto"/>
        <w:ind w:firstLine="475" w:firstLineChars="198"/>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类别</w:t>
            </w:r>
          </w:p>
        </w:tc>
        <w:tc>
          <w:tcPr>
            <w:tcW w:w="6260" w:type="dxa"/>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cs="宋体"/>
                <w:color w:val="000000" w:themeColor="text1"/>
                <w:sz w:val="24"/>
                <w14:textFill>
                  <w14:solidFill>
                    <w14:schemeClr w14:val="tx1"/>
                  </w14:solidFill>
                </w14:textFill>
              </w:rPr>
            </w:pPr>
          </w:p>
          <w:p>
            <w:pPr>
              <w:spacing w:line="360" w:lineRule="auto"/>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技能</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竞赛</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类</w:t>
            </w: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教育行政主管部门组织的竞赛</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其他行业协会或社会组织的竞赛</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校级竞赛</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项目开发类</w:t>
            </w: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自主实施的项目开发</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参与老师组织的项目开发</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职业资格证书类</w:t>
            </w: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人力资源和社会保障系统职业资格证书</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驾照</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发明专利</w:t>
            </w: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发明专利</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取得发明专利可替换8学分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实用新型专利</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取得实用新型专利可替换6学分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外观设计专利</w:t>
            </w:r>
          </w:p>
        </w:tc>
        <w:tc>
          <w:tcPr>
            <w:tcW w:w="62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取得外观设计专利可替换4学分</w:t>
            </w:r>
          </w:p>
        </w:tc>
      </w:tr>
    </w:tbl>
    <w:p>
      <w:pPr>
        <w:adjustRightInd w:val="0"/>
        <w:snapToGrid w:val="0"/>
        <w:spacing w:line="360" w:lineRule="auto"/>
        <w:ind w:firstLine="600" w:firstLineChars="250"/>
        <w:rPr>
          <w:rFonts w:ascii="宋体" w:hAnsi="宋体" w:cs="宋体"/>
          <w:color w:val="000000" w:themeColor="text1"/>
          <w:sz w:val="24"/>
          <w14:textFill>
            <w14:solidFill>
              <w14:schemeClr w14:val="tx1"/>
            </w14:solidFill>
          </w14:textFill>
        </w:rPr>
      </w:pPr>
    </w:p>
    <w:p>
      <w:pPr>
        <w:adjustRightInd w:val="0"/>
        <w:snapToGrid w:val="0"/>
        <w:spacing w:line="360" w:lineRule="auto"/>
        <w:ind w:firstLine="602" w:firstLineChars="25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2．考证要求</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（1）普通话测试水平二级乙等以上证书；</w:t>
      </w:r>
    </w:p>
    <w:p>
      <w:pPr>
        <w:spacing w:line="360" w:lineRule="auto"/>
        <w:ind w:firstLine="480" w:firstLineChars="200"/>
        <w:rPr>
          <w:rFonts w:ascii="宋体" w:hAnsi="宋体" w:cs="宋体"/>
          <w:color w:val="000000" w:themeColor="text1"/>
          <w:sz w:val="24"/>
          <w14:textFill>
            <w14:solidFill>
              <w14:schemeClr w14:val="tx1"/>
            </w14:solidFill>
          </w14:textFill>
        </w:rPr>
      </w:pPr>
    </w:p>
    <w:p>
      <w:pPr>
        <w:spacing w:line="360" w:lineRule="auto"/>
        <w:ind w:firstLine="477" w:firstLineChars="198"/>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八、课程设置及学时安排</w:t>
      </w:r>
    </w:p>
    <w:p>
      <w:pPr>
        <w:spacing w:line="360" w:lineRule="auto"/>
        <w:ind w:firstLine="420"/>
        <w:outlineLvl w:val="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（一）课程设置</w:t>
      </w:r>
    </w:p>
    <w:p>
      <w:pPr>
        <w:spacing w:line="360" w:lineRule="auto"/>
        <w:ind w:firstLine="42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主要包括公共基础课程和专业课程。</w:t>
      </w:r>
    </w:p>
    <w:p>
      <w:pPr>
        <w:numPr>
          <w:ilvl w:val="0"/>
          <w:numId w:val="1"/>
        </w:numPr>
        <w:spacing w:line="360" w:lineRule="auto"/>
        <w:ind w:firstLine="42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公共基础课程一般包括思想政治理论课、军事课、大学英语、体育、心理健康、就业指导、创新创业、职业素质等方面的课程或专题讲座（活动）。</w:t>
      </w:r>
    </w:p>
    <w:p>
      <w:pPr>
        <w:numPr>
          <w:ilvl w:val="0"/>
          <w:numId w:val="1"/>
        </w:numPr>
        <w:spacing w:line="360" w:lineRule="auto"/>
        <w:ind w:firstLine="421"/>
        <w:rPr>
          <w:rFonts w:ascii="宋体" w:hAnsi="宋体" w:cs="宋体"/>
          <w:bCs/>
          <w:sz w:val="24"/>
        </w:rPr>
      </w:pPr>
      <w:r>
        <w:rPr>
          <w:rFonts w:hint="eastAsia" w:ascii="宋体" w:hAnsi="宋体" w:cs="宋体"/>
          <w:bCs/>
          <w:sz w:val="24"/>
        </w:rPr>
        <w:t>专业课一般包括专业基础课程、专业核心课程、专业拓展课程，并涵盖有关实践性教学环节。专业课分三个岗位方向，不同岗位核心课程不同。学生可以根据自己的个性特点选择对应岗位。学生在第一学期末进行岗位的选择，从第二学期开始按所选岗位进行上课。</w:t>
      </w:r>
    </w:p>
    <w:p>
      <w:pPr>
        <w:spacing w:line="360" w:lineRule="auto"/>
        <w:ind w:firstLine="42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专业基础课程举例：《基本乐理》、《视唱练耳》、《声乐》、《钢琴》、《舞蹈》等。</w:t>
      </w:r>
    </w:p>
    <w:p>
      <w:pPr>
        <w:spacing w:line="360" w:lineRule="auto"/>
        <w:ind w:firstLine="42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专业核心课程举例：《基本乐理》、《视唱练耳》、《声乐》、《钢琴》、《舞蹈》等。</w:t>
      </w:r>
    </w:p>
    <w:p>
      <w:pPr>
        <w:spacing w:line="360" w:lineRule="auto"/>
        <w:ind w:firstLine="42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专业拓展课举例：《舞台表演艺术》、《乐团实践》、《艺术实践》、《专业分方向》等。</w:t>
      </w:r>
    </w:p>
    <w:p>
      <w:pPr>
        <w:numPr>
          <w:ilvl w:val="0"/>
          <w:numId w:val="1"/>
        </w:numPr>
        <w:spacing w:line="360" w:lineRule="auto"/>
        <w:ind w:firstLine="42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专业核心课程名称及主要教学内容</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1779"/>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tcPr>
          <w:p>
            <w:pPr>
              <w:spacing w:line="360" w:lineRule="auto"/>
              <w:jc w:val="center"/>
              <w:rPr>
                <w:rFonts w:ascii="宋体" w:hAnsi="宋体" w:cs="宋体"/>
                <w:bCs/>
                <w:sz w:val="24"/>
              </w:rPr>
            </w:pPr>
            <w:r>
              <w:rPr>
                <w:rFonts w:hint="eastAsia" w:ascii="宋体" w:hAnsi="宋体" w:cs="宋体"/>
                <w:bCs/>
                <w:sz w:val="24"/>
              </w:rPr>
              <w:t>序号</w:t>
            </w:r>
          </w:p>
        </w:tc>
        <w:tc>
          <w:tcPr>
            <w:tcW w:w="1779" w:type="dxa"/>
          </w:tcPr>
          <w:p>
            <w:pPr>
              <w:spacing w:line="360" w:lineRule="auto"/>
              <w:jc w:val="center"/>
              <w:rPr>
                <w:rFonts w:ascii="宋体" w:hAnsi="宋体" w:cs="宋体"/>
                <w:bCs/>
                <w:sz w:val="24"/>
              </w:rPr>
            </w:pPr>
            <w:r>
              <w:rPr>
                <w:rFonts w:hint="eastAsia" w:ascii="宋体" w:hAnsi="宋体" w:cs="宋体"/>
                <w:bCs/>
                <w:sz w:val="24"/>
              </w:rPr>
              <w:t>专业核心课名称</w:t>
            </w:r>
          </w:p>
        </w:tc>
        <w:tc>
          <w:tcPr>
            <w:tcW w:w="6538" w:type="dxa"/>
          </w:tcPr>
          <w:p>
            <w:pPr>
              <w:spacing w:line="360" w:lineRule="auto"/>
              <w:jc w:val="center"/>
              <w:rPr>
                <w:rFonts w:ascii="宋体" w:hAnsi="宋体" w:cs="宋体"/>
                <w:bCs/>
                <w:sz w:val="24"/>
              </w:rPr>
            </w:pPr>
            <w:r>
              <w:rPr>
                <w:rFonts w:hint="eastAsia" w:ascii="宋体" w:hAnsi="宋体" w:cs="宋体"/>
                <w:bCs/>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tcPr>
          <w:p>
            <w:pPr>
              <w:spacing w:line="360" w:lineRule="auto"/>
              <w:jc w:val="center"/>
              <w:rPr>
                <w:rFonts w:ascii="宋体" w:hAnsi="宋体" w:cs="宋体"/>
                <w:bCs/>
                <w:sz w:val="24"/>
              </w:rPr>
            </w:pPr>
            <w:r>
              <w:rPr>
                <w:rFonts w:hint="eastAsia" w:ascii="宋体" w:hAnsi="宋体" w:cs="宋体"/>
                <w:bCs/>
                <w:sz w:val="24"/>
              </w:rPr>
              <w:t>1</w:t>
            </w:r>
          </w:p>
        </w:tc>
        <w:tc>
          <w:tcPr>
            <w:tcW w:w="1779" w:type="dxa"/>
          </w:tcPr>
          <w:p>
            <w:pPr>
              <w:spacing w:line="360" w:lineRule="auto"/>
              <w:jc w:val="center"/>
              <w:rPr>
                <w:rFonts w:ascii="宋体" w:hAnsi="宋体" w:cs="宋体"/>
                <w:bCs/>
                <w:sz w:val="24"/>
              </w:rPr>
            </w:pPr>
            <w:r>
              <w:rPr>
                <w:rFonts w:hint="eastAsia" w:ascii="宋体" w:hAnsi="宋体" w:cs="宋体"/>
                <w:bCs/>
                <w:sz w:val="24"/>
              </w:rPr>
              <w:t>《乐理》</w:t>
            </w:r>
          </w:p>
        </w:tc>
        <w:tc>
          <w:tcPr>
            <w:tcW w:w="6538" w:type="dxa"/>
          </w:tcPr>
          <w:p>
            <w:pPr>
              <w:numPr>
                <w:ilvl w:val="0"/>
                <w:numId w:val="2"/>
              </w:numPr>
              <w:spacing w:line="360" w:lineRule="auto"/>
              <w:jc w:val="left"/>
              <w:rPr>
                <w:rFonts w:ascii="宋体" w:hAnsi="宋体" w:cs="宋体"/>
                <w:bCs/>
                <w:sz w:val="24"/>
              </w:rPr>
            </w:pPr>
            <w:r>
              <w:rPr>
                <w:rFonts w:hint="eastAsia" w:ascii="宋体" w:hAnsi="宋体" w:cs="宋体"/>
                <w:bCs/>
                <w:sz w:val="24"/>
              </w:rPr>
              <w:t>学习音乐的基本理论知识；</w:t>
            </w:r>
          </w:p>
          <w:p>
            <w:pPr>
              <w:numPr>
                <w:ilvl w:val="0"/>
                <w:numId w:val="2"/>
              </w:numPr>
              <w:spacing w:line="360" w:lineRule="auto"/>
              <w:jc w:val="left"/>
              <w:rPr>
                <w:rFonts w:ascii="宋体" w:hAnsi="宋体" w:cs="宋体"/>
                <w:bCs/>
                <w:sz w:val="24"/>
              </w:rPr>
            </w:pPr>
            <w:r>
              <w:rPr>
                <w:rFonts w:hint="eastAsia" w:ascii="宋体" w:hAnsi="宋体" w:cs="宋体"/>
                <w:bCs/>
                <w:sz w:val="24"/>
              </w:rPr>
              <w:t>了解音乐知识中的结构体系和音乐知识在相关专业学习中的运用；</w:t>
            </w:r>
          </w:p>
          <w:p>
            <w:pPr>
              <w:numPr>
                <w:ilvl w:val="0"/>
                <w:numId w:val="2"/>
              </w:numPr>
              <w:spacing w:line="360" w:lineRule="auto"/>
              <w:jc w:val="left"/>
              <w:rPr>
                <w:rFonts w:ascii="宋体" w:hAnsi="宋体" w:cs="宋体"/>
                <w:bCs/>
                <w:sz w:val="24"/>
              </w:rPr>
            </w:pPr>
            <w:r>
              <w:rPr>
                <w:rFonts w:hint="eastAsia" w:ascii="宋体" w:hAnsi="宋体" w:cs="宋体"/>
                <w:bCs/>
                <w:sz w:val="24"/>
              </w:rPr>
              <w:t>学习音乐理论中的节奏、音值、调试与和声等。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tcPr>
          <w:p>
            <w:pPr>
              <w:spacing w:line="360" w:lineRule="auto"/>
              <w:jc w:val="center"/>
              <w:rPr>
                <w:rFonts w:ascii="宋体" w:hAnsi="宋体" w:cs="宋体"/>
                <w:bCs/>
                <w:sz w:val="24"/>
              </w:rPr>
            </w:pPr>
            <w:r>
              <w:rPr>
                <w:rFonts w:hint="eastAsia" w:ascii="宋体" w:hAnsi="宋体" w:cs="宋体"/>
                <w:bCs/>
                <w:sz w:val="24"/>
              </w:rPr>
              <w:t>2</w:t>
            </w:r>
          </w:p>
        </w:tc>
        <w:tc>
          <w:tcPr>
            <w:tcW w:w="1779" w:type="dxa"/>
          </w:tcPr>
          <w:p>
            <w:pPr>
              <w:spacing w:line="360" w:lineRule="auto"/>
              <w:jc w:val="center"/>
              <w:rPr>
                <w:rFonts w:ascii="宋体" w:hAnsi="宋体" w:cs="宋体"/>
                <w:bCs/>
                <w:sz w:val="24"/>
              </w:rPr>
            </w:pPr>
            <w:r>
              <w:rPr>
                <w:rFonts w:hint="eastAsia" w:ascii="宋体" w:hAnsi="宋体" w:cs="宋体"/>
                <w:bCs/>
                <w:sz w:val="24"/>
              </w:rPr>
              <w:t>《视唱练耳》</w:t>
            </w:r>
          </w:p>
        </w:tc>
        <w:tc>
          <w:tcPr>
            <w:tcW w:w="6538" w:type="dxa"/>
          </w:tcPr>
          <w:p>
            <w:pPr>
              <w:numPr>
                <w:ilvl w:val="0"/>
                <w:numId w:val="3"/>
              </w:numPr>
              <w:spacing w:line="360" w:lineRule="auto"/>
              <w:jc w:val="left"/>
              <w:rPr>
                <w:rFonts w:ascii="宋体" w:hAnsi="宋体" w:cs="宋体"/>
                <w:bCs/>
                <w:sz w:val="24"/>
              </w:rPr>
            </w:pPr>
            <w:r>
              <w:rPr>
                <w:rFonts w:hint="eastAsia" w:ascii="宋体" w:hAnsi="宋体" w:cs="宋体"/>
                <w:bCs/>
                <w:sz w:val="24"/>
              </w:rPr>
              <w:t>掌握各音的音准与各音的组合连接等；</w:t>
            </w:r>
          </w:p>
          <w:p>
            <w:pPr>
              <w:numPr>
                <w:ilvl w:val="0"/>
                <w:numId w:val="3"/>
              </w:numPr>
              <w:spacing w:line="360" w:lineRule="auto"/>
              <w:jc w:val="left"/>
              <w:rPr>
                <w:rFonts w:ascii="宋体" w:hAnsi="宋体" w:cs="宋体"/>
                <w:bCs/>
                <w:sz w:val="24"/>
              </w:rPr>
            </w:pPr>
            <w:r>
              <w:rPr>
                <w:rFonts w:hint="eastAsia" w:ascii="宋体" w:hAnsi="宋体" w:cs="宋体"/>
                <w:bCs/>
                <w:sz w:val="24"/>
              </w:rPr>
              <w:t>把握视唱中的节奏，提高识谱能力；</w:t>
            </w:r>
          </w:p>
          <w:p>
            <w:pPr>
              <w:numPr>
                <w:ilvl w:val="0"/>
                <w:numId w:val="3"/>
              </w:numPr>
              <w:spacing w:line="360" w:lineRule="auto"/>
              <w:jc w:val="left"/>
              <w:rPr>
                <w:rFonts w:ascii="宋体" w:hAnsi="宋体" w:cs="宋体"/>
                <w:bCs/>
                <w:sz w:val="24"/>
              </w:rPr>
            </w:pPr>
            <w:r>
              <w:rPr>
                <w:rFonts w:hint="eastAsia" w:ascii="宋体" w:hAnsi="宋体" w:cs="宋体"/>
                <w:bCs/>
                <w:sz w:val="24"/>
              </w:rPr>
              <w:t>将视唱学习中的相关知识运用到音乐的各个实践之中。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tcPr>
          <w:p>
            <w:pPr>
              <w:spacing w:line="360" w:lineRule="auto"/>
              <w:jc w:val="center"/>
              <w:rPr>
                <w:rFonts w:ascii="宋体" w:hAnsi="宋体" w:cs="宋体"/>
                <w:bCs/>
                <w:sz w:val="24"/>
              </w:rPr>
            </w:pPr>
            <w:r>
              <w:rPr>
                <w:rFonts w:hint="eastAsia" w:ascii="宋体" w:hAnsi="宋体" w:cs="宋体"/>
                <w:bCs/>
                <w:sz w:val="24"/>
              </w:rPr>
              <w:t>3</w:t>
            </w:r>
          </w:p>
        </w:tc>
        <w:tc>
          <w:tcPr>
            <w:tcW w:w="1779" w:type="dxa"/>
          </w:tcPr>
          <w:p>
            <w:pPr>
              <w:spacing w:line="360" w:lineRule="auto"/>
              <w:jc w:val="center"/>
              <w:rPr>
                <w:rFonts w:ascii="宋体" w:hAnsi="宋体" w:cs="宋体"/>
                <w:bCs/>
                <w:sz w:val="24"/>
              </w:rPr>
            </w:pPr>
            <w:r>
              <w:rPr>
                <w:rFonts w:hint="eastAsia" w:ascii="宋体" w:hAnsi="宋体" w:cs="宋体"/>
                <w:bCs/>
                <w:sz w:val="24"/>
              </w:rPr>
              <w:t>《初级和声》</w:t>
            </w:r>
          </w:p>
        </w:tc>
        <w:tc>
          <w:tcPr>
            <w:tcW w:w="6538" w:type="dxa"/>
          </w:tcPr>
          <w:p>
            <w:pPr>
              <w:numPr>
                <w:ilvl w:val="0"/>
                <w:numId w:val="4"/>
              </w:numPr>
              <w:spacing w:line="360" w:lineRule="auto"/>
              <w:jc w:val="left"/>
              <w:rPr>
                <w:rFonts w:ascii="宋体" w:hAnsi="宋体" w:cs="宋体"/>
                <w:bCs/>
                <w:sz w:val="24"/>
              </w:rPr>
            </w:pPr>
            <w:r>
              <w:rPr>
                <w:rFonts w:hint="eastAsia" w:ascii="宋体" w:hAnsi="宋体" w:cs="宋体"/>
                <w:bCs/>
                <w:sz w:val="24"/>
              </w:rPr>
              <w:t>学习和声学的基本原理；</w:t>
            </w:r>
          </w:p>
          <w:p>
            <w:pPr>
              <w:numPr>
                <w:ilvl w:val="0"/>
                <w:numId w:val="4"/>
              </w:numPr>
              <w:spacing w:line="360" w:lineRule="auto"/>
              <w:jc w:val="left"/>
              <w:rPr>
                <w:rFonts w:ascii="宋体" w:hAnsi="宋体" w:cs="宋体"/>
                <w:bCs/>
                <w:sz w:val="24"/>
              </w:rPr>
            </w:pPr>
            <w:r>
              <w:rPr>
                <w:rFonts w:hint="eastAsia" w:ascii="宋体" w:hAnsi="宋体" w:cs="宋体"/>
                <w:bCs/>
                <w:sz w:val="24"/>
              </w:rPr>
              <w:t>了解音乐作品的曲式结构，并对不同的作品教学分析；</w:t>
            </w:r>
          </w:p>
          <w:p>
            <w:pPr>
              <w:numPr>
                <w:ilvl w:val="0"/>
                <w:numId w:val="4"/>
              </w:numPr>
              <w:spacing w:line="360" w:lineRule="auto"/>
              <w:jc w:val="left"/>
              <w:rPr>
                <w:rFonts w:ascii="宋体" w:hAnsi="宋体" w:cs="宋体"/>
                <w:bCs/>
                <w:sz w:val="24"/>
              </w:rPr>
            </w:pPr>
            <w:r>
              <w:rPr>
                <w:rFonts w:hint="eastAsia" w:ascii="宋体" w:hAnsi="宋体" w:cs="宋体"/>
                <w:bCs/>
                <w:sz w:val="24"/>
              </w:rPr>
              <w:t>在增强音乐理论知识学习的同时，加强音乐的理论研究。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w:t>
            </w:r>
          </w:p>
        </w:tc>
        <w:tc>
          <w:tcPr>
            <w:tcW w:w="1779"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《钢琴基础》</w:t>
            </w:r>
          </w:p>
        </w:tc>
        <w:tc>
          <w:tcPr>
            <w:tcW w:w="6538" w:type="dxa"/>
          </w:tcPr>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1.传授钢琴弹奏的基本知识和基本方法，从基本练习（音阶、琶音、和弦）、练习曲、复调、中外乐曲四个方面对学生进行有目的地教学；</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2.在欣赏、分析、演奏等方面，注重对学生的音乐素质培养；</w:t>
            </w:r>
          </w:p>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结合社会音乐培训的特点，选择优秀的钢琴作品进行教学，提升学生对该阶段音乐教材的掌握能力。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897"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w:t>
            </w:r>
          </w:p>
        </w:tc>
        <w:tc>
          <w:tcPr>
            <w:tcW w:w="1779"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《声乐基础》</w:t>
            </w:r>
          </w:p>
        </w:tc>
        <w:tc>
          <w:tcPr>
            <w:tcW w:w="6538" w:type="dxa"/>
          </w:tcPr>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1.学习声乐的基本知识和科学的演唱方法；</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2.熟悉不同风格的声乐作品，提升自身的艺术审美与表现能力；</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3.熟悉幼儿园和小学阶段的歌唱作品，注重自弹自唱的能力培养；</w:t>
            </w:r>
          </w:p>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4.学习声乐教学基本方法，可以有效地组织幼儿园或小学的音乐活动。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897"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6</w:t>
            </w:r>
          </w:p>
        </w:tc>
        <w:tc>
          <w:tcPr>
            <w:tcW w:w="1779"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《舞蹈基础》</w:t>
            </w:r>
          </w:p>
        </w:tc>
        <w:tc>
          <w:tcPr>
            <w:tcW w:w="6538" w:type="dxa"/>
          </w:tcPr>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1.舞蹈基本理论、基本技能的训练；</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2.学习芭蕾舞、儿童舞、中国古典舞、中国民族民间舞等舞种的基本舞步、表演技巧和表演风格；</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3.少儿舞蹈教学、创编的基本理论和方法；舞蹈赏析与排练。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7</w:t>
            </w:r>
          </w:p>
        </w:tc>
        <w:tc>
          <w:tcPr>
            <w:tcW w:w="1779"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《中外音乐史与名作赏析》</w:t>
            </w:r>
          </w:p>
        </w:tc>
        <w:tc>
          <w:tcPr>
            <w:tcW w:w="6538" w:type="dxa"/>
          </w:tcPr>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1.外国音乐史（从古典主义时期开始）；</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2.中国音乐史（从近代开始）；</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3.欣赏中外名曲；</w:t>
            </w:r>
          </w:p>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4.选择一些近现代音乐作品，作为拓展性教学。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8</w:t>
            </w:r>
          </w:p>
        </w:tc>
        <w:tc>
          <w:tcPr>
            <w:tcW w:w="1779"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《合唱指挥》</w:t>
            </w:r>
          </w:p>
        </w:tc>
        <w:tc>
          <w:tcPr>
            <w:tcW w:w="6538" w:type="dxa"/>
          </w:tcPr>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1.指挥的基本知识与基本技能；</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2.合唱的艺术特点、规律、功能和形式；</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3.科学的排练方法，教学的组织活动；</w:t>
            </w:r>
          </w:p>
          <w:p>
            <w:pPr>
              <w:widowControl/>
              <w:adjustRightInd w:val="0"/>
              <w:snapToGrid w:val="0"/>
              <w:spacing w:line="360" w:lineRule="auto"/>
              <w:outlineLvl w:val="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4.正确的歌曲处理与内容表现，提升学生的审美与表现能力；</w:t>
            </w:r>
          </w:p>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5.培养学生从事社会音乐培训需具备的基本技能，以及辅导小型乐队及合唱活动的能力。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9</w:t>
            </w:r>
          </w:p>
        </w:tc>
        <w:tc>
          <w:tcPr>
            <w:tcW w:w="1779" w:type="dxa"/>
            <w:vAlign w:val="center"/>
          </w:tcPr>
          <w:p>
            <w:pPr>
              <w:spacing w:line="360" w:lineRule="auto"/>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《即兴伴奏与弹唱》</w:t>
            </w:r>
          </w:p>
        </w:tc>
        <w:tc>
          <w:tcPr>
            <w:tcW w:w="6538" w:type="dxa"/>
          </w:tcPr>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w:t>
            </w:r>
            <w:r>
              <w:rPr>
                <w:rFonts w:ascii="宋体" w:hAnsi="宋体" w:cs="宋体"/>
                <w:bCs/>
                <w:color w:val="000000" w:themeColor="text1"/>
                <w:sz w:val="24"/>
                <w14:textFill>
                  <w14:solidFill>
                    <w14:schemeClr w14:val="tx1"/>
                  </w14:solidFill>
                </w14:textFill>
              </w:rPr>
              <w:t>.</w:t>
            </w:r>
            <w:r>
              <w:rPr>
                <w:rFonts w:hint="eastAsia" w:ascii="宋体" w:hAnsi="宋体" w:cs="宋体"/>
                <w:bCs/>
                <w:color w:val="000000" w:themeColor="text1"/>
                <w:sz w:val="24"/>
                <w14:textFill>
                  <w14:solidFill>
                    <w14:schemeClr w14:val="tx1"/>
                  </w14:solidFill>
                </w14:textFill>
              </w:rPr>
              <w:t>通过即兴伴奏的学习，使学生掌握即兴伴奏编配的基本理论与方法，培养为不同风格歌曲编配伴奏并弹唱的能力；</w:t>
            </w:r>
          </w:p>
          <w:p>
            <w:pPr>
              <w:spacing w:line="360" w:lineRule="auto"/>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w:t>
            </w:r>
            <w:r>
              <w:rPr>
                <w:rFonts w:ascii="宋体" w:hAnsi="宋体" w:cs="宋体"/>
                <w:bCs/>
                <w:color w:val="000000" w:themeColor="text1"/>
                <w:sz w:val="24"/>
                <w14:textFill>
                  <w14:solidFill>
                    <w14:schemeClr w14:val="tx1"/>
                  </w14:solidFill>
                </w14:textFill>
              </w:rPr>
              <w:t>.</w:t>
            </w:r>
            <w:r>
              <w:rPr>
                <w:rFonts w:hint="eastAsia" w:ascii="宋体" w:hAnsi="宋体" w:cs="宋体"/>
                <w:bCs/>
                <w:color w:val="000000" w:themeColor="text1"/>
                <w:sz w:val="24"/>
                <w14:textFill>
                  <w14:solidFill>
                    <w14:schemeClr w14:val="tx1"/>
                  </w14:solidFill>
                </w14:textFill>
              </w:rPr>
              <w:t>正确的歌曲处理与内容表现，提升学生的审美与表现能力；</w:t>
            </w:r>
          </w:p>
          <w:p>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w:t>
            </w:r>
            <w:r>
              <w:rPr>
                <w:rFonts w:ascii="宋体" w:hAnsi="宋体" w:cs="宋体"/>
                <w:bCs/>
                <w:color w:val="000000" w:themeColor="text1"/>
                <w:sz w:val="24"/>
                <w14:textFill>
                  <w14:solidFill>
                    <w14:schemeClr w14:val="tx1"/>
                  </w14:solidFill>
                </w14:textFill>
              </w:rPr>
              <w:t>.</w:t>
            </w:r>
            <w:r>
              <w:rPr>
                <w:rFonts w:hint="eastAsia" w:ascii="宋体" w:hAnsi="宋体" w:cs="宋体"/>
                <w:bCs/>
                <w:color w:val="000000" w:themeColor="text1"/>
                <w:sz w:val="24"/>
                <w14:textFill>
                  <w14:solidFill>
                    <w14:schemeClr w14:val="tx1"/>
                  </w14:solidFill>
                </w14:textFill>
              </w:rPr>
              <w:t>培养一定的钢琴伴奏能力，能够为小学、幼儿园歌曲编配伴奏并弹唱。</w:t>
            </w:r>
          </w:p>
        </w:tc>
      </w:tr>
    </w:tbl>
    <w:p>
      <w:pPr>
        <w:spacing w:line="360" w:lineRule="auto"/>
        <w:rPr>
          <w:rFonts w:ascii="宋体" w:hAnsi="宋体" w:cs="宋体"/>
          <w:b/>
          <w:color w:val="000000" w:themeColor="text1"/>
          <w:sz w:val="24"/>
          <w14:textFill>
            <w14:solidFill>
              <w14:schemeClr w14:val="tx1"/>
            </w14:solidFill>
          </w14:textFill>
        </w:rPr>
      </w:pPr>
    </w:p>
    <w:p>
      <w:pPr>
        <w:spacing w:line="360" w:lineRule="auto"/>
        <w:ind w:firstLine="420"/>
        <w:outlineLvl w:val="0"/>
        <w:rPr>
          <w:rFonts w:ascii="宋体" w:hAnsi="宋体" w:cs="宋体"/>
          <w:bCs/>
          <w:color w:val="FF0000"/>
          <w:sz w:val="24"/>
        </w:rPr>
      </w:pPr>
      <w:r>
        <w:rPr>
          <w:rFonts w:hint="eastAsia" w:ascii="宋体" w:hAnsi="宋体" w:cs="宋体"/>
          <w:bCs/>
          <w:color w:val="000000" w:themeColor="text1"/>
          <w:sz w:val="24"/>
          <w14:textFill>
            <w14:solidFill>
              <w14:schemeClr w14:val="tx1"/>
            </w14:solidFill>
          </w14:textFill>
        </w:rPr>
        <w:t>实践性教学环节主要包括顶岗实习、音乐制作项目实训、社会实践、毕业项目综合实训、创新创业实践等。</w:t>
      </w:r>
    </w:p>
    <w:p>
      <w:pPr>
        <w:spacing w:line="360" w:lineRule="auto"/>
        <w:outlineLvl w:val="0"/>
        <w:rPr>
          <w:rFonts w:ascii="宋体" w:hAnsi="宋体" w:cs="宋体"/>
          <w:bCs/>
          <w:color w:val="FF0000"/>
          <w:sz w:val="24"/>
        </w:rPr>
      </w:pPr>
    </w:p>
    <w:p>
      <w:pPr>
        <w:spacing w:line="360" w:lineRule="auto"/>
        <w:ind w:firstLine="477" w:firstLineChars="198"/>
        <w:rPr>
          <w:rFonts w:ascii="宋体" w:hAnsi="宋体" w:cs="宋体"/>
          <w:b/>
          <w:sz w:val="24"/>
        </w:rPr>
      </w:pPr>
      <w:r>
        <w:rPr>
          <w:rFonts w:hint="eastAsia" w:ascii="宋体" w:hAnsi="宋体" w:cs="宋体"/>
          <w:b/>
          <w:sz w:val="24"/>
        </w:rPr>
        <w:t>(二)学时安排</w:t>
      </w:r>
    </w:p>
    <w:p>
      <w:pPr>
        <w:spacing w:line="360" w:lineRule="auto"/>
        <w:ind w:firstLine="420"/>
        <w:rPr>
          <w:rFonts w:ascii="宋体" w:hAnsi="宋体" w:cs="宋体"/>
          <w:bCs/>
          <w:sz w:val="24"/>
        </w:rPr>
      </w:pPr>
      <w:r>
        <w:rPr>
          <w:rFonts w:hint="eastAsia" w:ascii="宋体" w:hAnsi="宋体" w:cs="宋体"/>
          <w:bCs/>
          <w:sz w:val="24"/>
        </w:rPr>
        <w:t>本专业总学时为</w:t>
      </w:r>
      <w:r>
        <w:rPr>
          <w:rFonts w:hint="eastAsia" w:ascii="等线" w:hAnsi="等线" w:eastAsia="等线" w:cs="等线"/>
          <w:kern w:val="0"/>
          <w:sz w:val="22"/>
          <w:szCs w:val="22"/>
          <w:lang w:bidi="ar"/>
        </w:rPr>
        <w:t>2</w:t>
      </w:r>
      <w:r>
        <w:rPr>
          <w:rFonts w:ascii="等线" w:hAnsi="等线" w:eastAsia="等线" w:cs="等线"/>
          <w:kern w:val="0"/>
          <w:sz w:val="22"/>
          <w:szCs w:val="22"/>
          <w:lang w:bidi="ar"/>
        </w:rPr>
        <w:t>529</w:t>
      </w:r>
      <w:r>
        <w:rPr>
          <w:rFonts w:hint="eastAsia" w:ascii="宋体" w:hAnsi="宋体" w:cs="宋体"/>
          <w:bCs/>
          <w:sz w:val="24"/>
        </w:rPr>
        <w:t>学时，其中实践性教学学时为1</w:t>
      </w:r>
      <w:r>
        <w:rPr>
          <w:rFonts w:ascii="宋体" w:hAnsi="宋体" w:cs="宋体"/>
          <w:bCs/>
          <w:sz w:val="24"/>
        </w:rPr>
        <w:t>500</w:t>
      </w:r>
      <w:r>
        <w:rPr>
          <w:rFonts w:hint="eastAsia" w:ascii="宋体" w:hAnsi="宋体" w:cs="宋体"/>
          <w:bCs/>
          <w:sz w:val="24"/>
        </w:rPr>
        <w:t>学时，占总学时的</w:t>
      </w:r>
      <w:r>
        <w:rPr>
          <w:rFonts w:ascii="宋体" w:hAnsi="宋体" w:cs="宋体"/>
          <w:bCs/>
          <w:sz w:val="24"/>
        </w:rPr>
        <w:t>59.3</w:t>
      </w:r>
      <w:r>
        <w:rPr>
          <w:rFonts w:hint="eastAsia" w:ascii="宋体" w:hAnsi="宋体" w:cs="宋体"/>
          <w:bCs/>
          <w:sz w:val="24"/>
        </w:rPr>
        <w:t>%。其中，顶岗实习为6个月，约420学时。</w:t>
      </w:r>
    </w:p>
    <w:tbl>
      <w:tblPr>
        <w:tblStyle w:val="6"/>
        <w:tblW w:w="8641" w:type="dxa"/>
        <w:jc w:val="center"/>
        <w:tblLayout w:type="autofit"/>
        <w:tblCellMar>
          <w:top w:w="0" w:type="dxa"/>
          <w:left w:w="108" w:type="dxa"/>
          <w:bottom w:w="0" w:type="dxa"/>
          <w:right w:w="108" w:type="dxa"/>
        </w:tblCellMar>
      </w:tblPr>
      <w:tblGrid>
        <w:gridCol w:w="1011"/>
        <w:gridCol w:w="1656"/>
        <w:gridCol w:w="1334"/>
        <w:gridCol w:w="724"/>
        <w:gridCol w:w="1269"/>
        <w:gridCol w:w="689"/>
        <w:gridCol w:w="1269"/>
        <w:gridCol w:w="689"/>
      </w:tblGrid>
      <w:tr>
        <w:tblPrEx>
          <w:tblCellMar>
            <w:top w:w="0" w:type="dxa"/>
            <w:left w:w="108" w:type="dxa"/>
            <w:bottom w:w="0" w:type="dxa"/>
            <w:right w:w="108" w:type="dxa"/>
          </w:tblCellMar>
        </w:tblPrEx>
        <w:trPr>
          <w:trHeight w:val="320" w:hRule="atLeast"/>
          <w:jc w:val="center"/>
        </w:trPr>
        <w:tc>
          <w:tcPr>
            <w:tcW w:w="8641" w:type="dxa"/>
            <w:gridSpan w:val="8"/>
            <w:tcBorders>
              <w:top w:val="nil"/>
              <w:left w:val="nil"/>
              <w:bottom w:val="nil"/>
              <w:right w:val="nil"/>
            </w:tcBorders>
            <w:shd w:val="clear" w:color="auto" w:fill="auto"/>
            <w:noWrap/>
            <w:vAlign w:val="bottom"/>
          </w:tcPr>
          <w:p>
            <w:pPr>
              <w:widowControl/>
              <w:jc w:val="center"/>
              <w:rPr>
                <w:rFonts w:ascii="等线" w:hAnsi="等线" w:eastAsia="等线" w:cs="宋体"/>
                <w:b/>
                <w:bCs/>
                <w:color w:val="000000"/>
                <w:kern w:val="0"/>
                <w:sz w:val="24"/>
              </w:rPr>
            </w:pPr>
            <w:r>
              <w:rPr>
                <w:rFonts w:hint="eastAsia" w:ascii="等线" w:hAnsi="等线" w:eastAsia="等线" w:cs="宋体"/>
                <w:b/>
                <w:bCs/>
                <w:color w:val="000000"/>
                <w:kern w:val="0"/>
                <w:sz w:val="24"/>
              </w:rPr>
              <w:t>理论与实践教学分配及比例表</w:t>
            </w:r>
          </w:p>
        </w:tc>
      </w:tr>
      <w:tr>
        <w:tblPrEx>
          <w:tblCellMar>
            <w:top w:w="0" w:type="dxa"/>
            <w:left w:w="108" w:type="dxa"/>
            <w:bottom w:w="0" w:type="dxa"/>
            <w:right w:w="108" w:type="dxa"/>
          </w:tblCellMar>
        </w:tblPrEx>
        <w:trPr>
          <w:trHeight w:val="640" w:hRule="atLeast"/>
          <w:jc w:val="center"/>
        </w:trPr>
        <w:tc>
          <w:tcPr>
            <w:tcW w:w="400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w:t>
            </w:r>
          </w:p>
        </w:tc>
        <w:tc>
          <w:tcPr>
            <w:tcW w:w="72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学时</w:t>
            </w:r>
          </w:p>
        </w:tc>
        <w:tc>
          <w:tcPr>
            <w:tcW w:w="126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6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学分</w:t>
            </w:r>
          </w:p>
        </w:tc>
        <w:tc>
          <w:tcPr>
            <w:tcW w:w="126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6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备注</w:t>
            </w:r>
          </w:p>
        </w:tc>
      </w:tr>
      <w:tr>
        <w:tblPrEx>
          <w:tblCellMar>
            <w:top w:w="0" w:type="dxa"/>
            <w:left w:w="108" w:type="dxa"/>
            <w:bottom w:w="0" w:type="dxa"/>
            <w:right w:w="108" w:type="dxa"/>
          </w:tblCellMar>
        </w:tblPrEx>
        <w:trPr>
          <w:trHeight w:val="300" w:hRule="atLeast"/>
          <w:jc w:val="center"/>
        </w:trPr>
        <w:tc>
          <w:tcPr>
            <w:tcW w:w="10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必修课</w:t>
            </w: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340</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13.44%</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51</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34.00%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426</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16.84%</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394</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15.58%</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65</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43.33%</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746</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29.50%</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选修课</w:t>
            </w: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191</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7.55%</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16</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10.67%</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78</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3.08%</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104</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4.11%</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18</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12.00%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250</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9.89%</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400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2529</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68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150</w:t>
            </w:r>
          </w:p>
        </w:tc>
        <w:tc>
          <w:tcPr>
            <w:tcW w:w="126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2667"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理论实践教学比</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理论教学</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1029</w:t>
            </w:r>
          </w:p>
        </w:tc>
        <w:tc>
          <w:tcPr>
            <w:tcW w:w="3227"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40.70%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26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实践教学</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1500</w:t>
            </w:r>
          </w:p>
        </w:tc>
        <w:tc>
          <w:tcPr>
            <w:tcW w:w="3227"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59.30%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400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总计</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2529</w:t>
            </w:r>
          </w:p>
        </w:tc>
        <w:tc>
          <w:tcPr>
            <w:tcW w:w="126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26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656"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334"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724"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269"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2647" w:type="dxa"/>
            <w:gridSpan w:val="3"/>
            <w:tcBorders>
              <w:top w:val="single" w:color="auto" w:sz="4" w:space="0"/>
              <w:left w:val="nil"/>
              <w:bottom w:val="nil"/>
              <w:right w:val="nil"/>
            </w:tcBorders>
            <w:shd w:val="clear" w:color="auto" w:fill="auto"/>
            <w:noWrap/>
            <w:vAlign w:val="bottom"/>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制表人：简悦</w:t>
            </w:r>
          </w:p>
        </w:tc>
      </w:tr>
    </w:tbl>
    <w:p>
      <w:pPr>
        <w:adjustRightInd w:val="0"/>
        <w:snapToGrid w:val="0"/>
        <w:spacing w:line="360" w:lineRule="auto"/>
        <w:rPr>
          <w:rFonts w:hint="eastAsia" w:ascii="宋体" w:hAnsi="宋体" w:cs="宋体"/>
          <w:b/>
          <w:bCs/>
          <w:color w:val="000000" w:themeColor="text1"/>
          <w:sz w:val="24"/>
          <w14:textFill>
            <w14:solidFill>
              <w14:schemeClr w14:val="tx1"/>
            </w14:solidFill>
          </w14:textFill>
        </w:rPr>
      </w:pPr>
    </w:p>
    <w:p>
      <w:pPr>
        <w:adjustRightInd w:val="0"/>
        <w:snapToGrid w:val="0"/>
        <w:spacing w:line="360" w:lineRule="auto"/>
        <w:ind w:firstLine="602" w:firstLineChars="250"/>
        <w:rPr>
          <w:rFonts w:ascii="宋体" w:hAnsi="宋体" w:cs="宋体"/>
          <w:b/>
          <w:bCs/>
          <w:color w:val="000000" w:themeColor="text1"/>
          <w:sz w:val="24"/>
          <w14:textFill>
            <w14:solidFill>
              <w14:schemeClr w14:val="tx1"/>
            </w14:solidFill>
          </w14:textFill>
        </w:rPr>
      </w:pPr>
    </w:p>
    <w:p>
      <w:pPr>
        <w:adjustRightInd w:val="0"/>
        <w:snapToGrid w:val="0"/>
        <w:spacing w:line="360" w:lineRule="auto"/>
        <w:ind w:firstLine="602" w:firstLineChars="25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九、教学基本条件</w:t>
      </w:r>
    </w:p>
    <w:p>
      <w:pPr>
        <w:spacing w:line="360" w:lineRule="auto"/>
        <w:ind w:firstLine="482" w:firstLineChars="200"/>
        <w:outlineLvl w:val="0"/>
        <w:rPr>
          <w:rStyle w:val="8"/>
          <w:rFonts w:ascii="宋体" w:hAnsi="宋体" w:cs="宋体"/>
          <w:color w:val="000000" w:themeColor="text1"/>
          <w:sz w:val="24"/>
          <w14:textFill>
            <w14:solidFill>
              <w14:schemeClr w14:val="tx1"/>
            </w14:solidFill>
          </w14:textFill>
        </w:rPr>
      </w:pPr>
      <w:r>
        <w:rPr>
          <w:rStyle w:val="8"/>
          <w:rFonts w:hint="eastAsia" w:ascii="宋体" w:hAnsi="宋体" w:cs="宋体"/>
          <w:color w:val="000000" w:themeColor="text1"/>
          <w:sz w:val="24"/>
          <w14:textFill>
            <w14:solidFill>
              <w14:schemeClr w14:val="tx1"/>
            </w14:solidFill>
          </w14:textFill>
        </w:rPr>
        <w:t>（一）教师队伍</w:t>
      </w:r>
    </w:p>
    <w:p>
      <w:pPr>
        <w:spacing w:line="360" w:lineRule="auto"/>
        <w:ind w:firstLine="720" w:firstLineChars="3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1.专任教师</w:t>
      </w:r>
    </w:p>
    <w:p>
      <w:pPr>
        <w:widowControl/>
        <w:jc w:val="left"/>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br w:type="page"/>
      </w:r>
    </w:p>
    <w:p>
      <w:pPr>
        <w:spacing w:line="360" w:lineRule="auto"/>
        <w:ind w:firstLine="420"/>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专任教师一览表</w:t>
      </w:r>
    </w:p>
    <w:tbl>
      <w:tblPr>
        <w:tblStyle w:val="6"/>
        <w:tblW w:w="107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4"/>
        <w:gridCol w:w="993"/>
        <w:gridCol w:w="567"/>
        <w:gridCol w:w="567"/>
        <w:gridCol w:w="1123"/>
        <w:gridCol w:w="2410"/>
        <w:gridCol w:w="1003"/>
        <w:gridCol w:w="1123"/>
        <w:gridCol w:w="957"/>
        <w:gridCol w:w="13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序号</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姓名</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性别</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年龄</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专业技术职务</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最后学历毕业学校、专业、学位</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现从事</w:t>
            </w:r>
          </w:p>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专业</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拟任</w:t>
            </w:r>
          </w:p>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课程</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是否</w:t>
            </w:r>
          </w:p>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“双师型”</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邓永业</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48</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副教授</w:t>
            </w:r>
          </w:p>
        </w:tc>
        <w:tc>
          <w:tcPr>
            <w:tcW w:w="2410" w:type="dxa"/>
            <w:tcBorders>
              <w:top w:val="single" w:color="000000" w:sz="4" w:space="0"/>
              <w:left w:val="single" w:color="000000" w:sz="4" w:space="0"/>
              <w:bottom w:val="single" w:color="000000" w:sz="4" w:space="0"/>
              <w:right w:val="single" w:color="000000" w:sz="4" w:space="0"/>
            </w:tcBorders>
            <w:noWrap/>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马来西亚城市大学、教育管理、硕士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钢琴</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韩  瑛</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中国音乐学院、西方音乐史、博士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西方音乐史</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姜明程</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50</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首都师范大学、音乐学、硕士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初级和声</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贾俊萍</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51</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首都师范大学、音乐学、硕士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钢琴</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肖文朴</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副教授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广西艺术学院、民族音乐学、硕士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民族音乐学</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汤  彪</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58</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副教授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华南师范大学、音乐学、学士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音乐教学法</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王定康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48</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副教授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广西师范大学、文学、硕士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中文</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现代汉语知识</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彭海燕</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48</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华南师范大学、文学、硕士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中文</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大学语文</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周运灵</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50</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湛江师范学院、音乐学、学士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视唱练耳</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杨卡力</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41</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湛江师范学院、音乐学、学士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流行演唱</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刘  灵</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48</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华南师范大学、音乐学、学士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邓玉珊</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湛江师范学院、音乐学、学士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周基蓉</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赣南师范学院、音乐教育、学士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声乐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陈家标</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41</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湛江师范学院、音乐教育、学士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民族器乐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王  育</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39</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湛江师范学院、音乐学、学士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视唱练耳</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吴玉梅</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53</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内蒙古艺术学院、舞蹈学、学士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舞 蹈</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简  悦</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34</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乌克兰基辅格里埃尔音乐学院、音乐学、硕士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钢琴表演</w:t>
            </w:r>
          </w:p>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流行音乐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何  欢</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38</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乌克兰国立南方师范大学、音乐教育、学士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钢琴</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邹庆全</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广州大学、音乐表演、硕士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声乐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李敏婷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43</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星海音乐学院、音乐学、学士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桑秋慧</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33</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星海音乐学院、音乐教育、学士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声乐表演</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廖欣欣</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31</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华南师范大学、音乐教育、学士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钢琴表演</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朱丽娟</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36</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泰国商会大学、舞蹈编导、硕士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毯技</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林文婧</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30</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华南师范大学、音乐学、硕士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歌曲弹唱</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石潇栩</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30</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英国利物浦大学、钢琴表演、硕士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钢琴表演</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彭梦梦</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华南理工大学、合唱指挥、硕士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合唱与指挥</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黎斯亮</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广西艺术学院、民族音乐学、硕士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民族音乐史</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邱韦菱</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26</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广西师范大学、舞蹈学、学士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古典声韵</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江慧怡</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26</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广西艺术学院、舞蹈学、学士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古典基训</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李伊雯</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36</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英国伦敦大学、音乐剧、硕士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音乐剧创编</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邓延彦</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38</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讲师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湛江师范学院、音乐学、学士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管乐基础</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汤宪伟</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星海音乐学院、作曲、学士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乐理/视唱练耳</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冯译允</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35</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菲律宾圣保罗大学、音乐教育、博士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声乐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董  超</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33</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菲律宾圣保罗大学、音乐教育、博士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声乐</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陈敬怡</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26</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武汉音乐学院、音乐表演、学士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古筝演奏</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杜嘉敏</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32</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助教</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星海音乐学院、音乐表演、硕士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二胡演奏</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甘毅明</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52</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副研究馆员</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广东石油化工学院、舞蹈、学士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作品排练</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w:t>
            </w: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pStyle w:val="15"/>
              <w:numPr>
                <w:ilvl w:val="0"/>
                <w:numId w:val="5"/>
              </w:numPr>
              <w:spacing w:line="273" w:lineRule="auto"/>
              <w:ind w:firstLineChars="0"/>
              <w:jc w:val="center"/>
              <w:rPr>
                <w:rFonts w:asciiTheme="minorEastAsia" w:hAnsiTheme="minorEastAsia" w:eastAsiaTheme="minorEastAsia"/>
                <w:sz w:val="22"/>
                <w:szCs w:val="22"/>
              </w:rPr>
            </w:pP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徐金阳</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男</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53</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副教授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湖南大学、民族音乐、硕士</w:t>
            </w:r>
          </w:p>
        </w:tc>
        <w:tc>
          <w:tcPr>
            <w:tcW w:w="100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音乐教育</w:t>
            </w:r>
          </w:p>
        </w:tc>
        <w:tc>
          <w:tcPr>
            <w:tcW w:w="1123" w:type="dxa"/>
            <w:tcBorders>
              <w:top w:val="single" w:color="000000" w:sz="4" w:space="0"/>
              <w:left w:val="single" w:color="000000" w:sz="4" w:space="0"/>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音乐史与音乐欣赏</w:t>
            </w:r>
          </w:p>
        </w:tc>
        <w:tc>
          <w:tcPr>
            <w:tcW w:w="957" w:type="dxa"/>
            <w:tcBorders>
              <w:top w:val="single" w:color="000000" w:sz="4" w:space="0"/>
              <w:left w:val="single" w:color="000000" w:sz="4" w:space="0"/>
              <w:bottom w:val="single" w:color="000000" w:sz="4" w:space="0"/>
              <w:right w:val="single" w:color="auto" w:sz="4" w:space="0"/>
            </w:tcBorders>
            <w:vAlign w:val="center"/>
          </w:tcPr>
          <w:p>
            <w:pPr>
              <w:spacing w:line="273" w:lineRule="auto"/>
              <w:jc w:val="center"/>
              <w:rPr>
                <w:rFonts w:asciiTheme="minorEastAsia" w:hAnsiTheme="minorEastAsia" w:eastAsiaTheme="minorEastAsia"/>
                <w:sz w:val="22"/>
                <w:szCs w:val="22"/>
              </w:rPr>
            </w:pPr>
          </w:p>
        </w:tc>
        <w:tc>
          <w:tcPr>
            <w:tcW w:w="1311" w:type="dxa"/>
            <w:tcBorders>
              <w:top w:val="single" w:color="000000" w:sz="4" w:space="0"/>
              <w:left w:val="nil"/>
              <w:bottom w:val="single" w:color="000000" w:sz="4" w:space="0"/>
              <w:right w:val="single" w:color="000000" w:sz="4" w:space="0"/>
            </w:tcBorders>
            <w:vAlign w:val="center"/>
          </w:tcPr>
          <w:p>
            <w:pPr>
              <w:spacing w:line="273" w:lineRule="auto"/>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兼职</w:t>
            </w:r>
          </w:p>
        </w:tc>
      </w:tr>
    </w:tbl>
    <w:p>
      <w:pPr>
        <w:spacing w:line="360" w:lineRule="auto"/>
        <w:ind w:firstLine="420"/>
        <w:jc w:val="center"/>
        <w:rPr>
          <w:rFonts w:ascii="宋体" w:hAnsi="宋体" w:cs="宋体"/>
          <w:color w:val="FF0000"/>
          <w:sz w:val="24"/>
        </w:rPr>
      </w:pPr>
    </w:p>
    <w:p>
      <w:pPr>
        <w:spacing w:line="360" w:lineRule="auto"/>
        <w:ind w:firstLine="420"/>
        <w:rPr>
          <w:rFonts w:ascii="宋体" w:hAnsi="宋体" w:cs="宋体"/>
          <w:color w:val="FF0000"/>
          <w:sz w:val="24"/>
        </w:rPr>
      </w:pPr>
    </w:p>
    <w:p>
      <w:pPr>
        <w:spacing w:line="360" w:lineRule="auto"/>
        <w:ind w:firstLine="420"/>
        <w:rPr>
          <w:rFonts w:ascii="宋体" w:hAnsi="宋体" w:cs="宋体"/>
          <w:color w:val="FF0000"/>
          <w:sz w:val="24"/>
        </w:rPr>
      </w:pPr>
    </w:p>
    <w:p>
      <w:pPr>
        <w:spacing w:line="360" w:lineRule="auto"/>
        <w:ind w:firstLine="420"/>
        <w:rPr>
          <w:rFonts w:ascii="宋体" w:hAnsi="宋体" w:cs="宋体"/>
          <w:color w:val="FF0000"/>
          <w:sz w:val="24"/>
        </w:rPr>
      </w:pPr>
    </w:p>
    <w:p>
      <w:pPr>
        <w:spacing w:line="360" w:lineRule="auto"/>
        <w:ind w:firstLine="420"/>
        <w:rPr>
          <w:rFonts w:ascii="宋体" w:hAnsi="宋体" w:cs="宋体"/>
          <w:color w:val="FF0000"/>
          <w:sz w:val="24"/>
        </w:rPr>
      </w:pPr>
    </w:p>
    <w:tbl>
      <w:tblPr>
        <w:tblStyle w:val="6"/>
        <w:tblW w:w="8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1537"/>
        <w:gridCol w:w="1282"/>
        <w:gridCol w:w="1091"/>
        <w:gridCol w:w="1176"/>
        <w:gridCol w:w="1091"/>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269"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ascii="宋体" w:hAnsi="宋体" w:cs="宋体"/>
                <w:sz w:val="24"/>
              </w:rPr>
            </w:pPr>
            <w:r>
              <w:rPr>
                <w:rFonts w:hint="eastAsia" w:ascii="宋体" w:hAnsi="宋体" w:cs="宋体"/>
                <w:sz w:val="24"/>
              </w:rPr>
              <w:t>职称结构</w:t>
            </w:r>
          </w:p>
        </w:tc>
        <w:tc>
          <w:tcPr>
            <w:tcW w:w="28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高级</w:t>
            </w:r>
          </w:p>
        </w:tc>
        <w:tc>
          <w:tcPr>
            <w:tcW w:w="226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中级</w:t>
            </w:r>
          </w:p>
        </w:tc>
        <w:tc>
          <w:tcPr>
            <w:tcW w:w="2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0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8</w:t>
            </w: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2</w:t>
            </w:r>
            <w:r>
              <w:rPr>
                <w:rFonts w:ascii="宋体" w:hAnsi="宋体" w:cs="宋体"/>
                <w:sz w:val="24"/>
              </w:rPr>
              <w:t>0</w:t>
            </w:r>
            <w:r>
              <w:rPr>
                <w:rFonts w:hint="eastAsia" w:ascii="宋体" w:hAnsi="宋体" w:cs="宋体"/>
                <w:sz w:val="24"/>
              </w:rPr>
              <w:t>%</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16</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40</w:t>
            </w:r>
            <w:r>
              <w:rPr>
                <w:rFonts w:hint="eastAsia" w:ascii="宋体" w:hAnsi="宋体" w:cs="宋体"/>
                <w:sz w:val="24"/>
              </w:rPr>
              <w:t>%</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16</w:t>
            </w:r>
          </w:p>
        </w:tc>
        <w:tc>
          <w:tcPr>
            <w:tcW w:w="10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40</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269"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ascii="宋体" w:hAnsi="宋体" w:cs="宋体"/>
                <w:sz w:val="24"/>
              </w:rPr>
            </w:pPr>
            <w:r>
              <w:rPr>
                <w:rFonts w:hint="eastAsia" w:ascii="宋体" w:hAnsi="宋体" w:cs="宋体"/>
                <w:sz w:val="24"/>
              </w:rPr>
              <w:t>年龄</w:t>
            </w:r>
          </w:p>
          <w:p>
            <w:pPr>
              <w:adjustRightInd w:val="0"/>
              <w:snapToGrid w:val="0"/>
              <w:spacing w:line="360" w:lineRule="auto"/>
              <w:jc w:val="center"/>
              <w:rPr>
                <w:rFonts w:ascii="宋体" w:hAnsi="宋体" w:cs="宋体"/>
                <w:sz w:val="24"/>
              </w:rPr>
            </w:pPr>
            <w:r>
              <w:rPr>
                <w:rFonts w:hint="eastAsia" w:ascii="宋体" w:hAnsi="宋体" w:cs="宋体"/>
                <w:sz w:val="24"/>
              </w:rPr>
              <w:t>结构</w:t>
            </w:r>
          </w:p>
        </w:tc>
        <w:tc>
          <w:tcPr>
            <w:tcW w:w="28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35岁以下</w:t>
            </w:r>
          </w:p>
        </w:tc>
        <w:tc>
          <w:tcPr>
            <w:tcW w:w="226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35-45岁</w:t>
            </w:r>
          </w:p>
        </w:tc>
        <w:tc>
          <w:tcPr>
            <w:tcW w:w="2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r>
              <w:rPr>
                <w:rFonts w:hint="eastAsia" w:ascii="宋体" w:hAnsi="宋体" w:cs="宋体"/>
                <w:sz w:val="24"/>
                <w:highlight w:val="yellow"/>
              </w:rPr>
              <w:t>人数</w:t>
            </w: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r>
              <w:rPr>
                <w:rFonts w:hint="eastAsia" w:ascii="宋体" w:hAnsi="宋体" w:cs="宋体"/>
                <w:sz w:val="24"/>
                <w:highlight w:val="yellow"/>
              </w:rPr>
              <w:t>比例</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r>
              <w:rPr>
                <w:rFonts w:hint="eastAsia" w:ascii="宋体" w:hAnsi="宋体" w:cs="宋体"/>
                <w:sz w:val="24"/>
                <w:highlight w:val="yellow"/>
              </w:rPr>
              <w:t>人数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r>
              <w:rPr>
                <w:rFonts w:hint="eastAsia" w:ascii="宋体" w:hAnsi="宋体" w:cs="宋体"/>
                <w:sz w:val="24"/>
                <w:highlight w:val="yellow"/>
              </w:rPr>
              <w:t>比例</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r>
              <w:rPr>
                <w:rFonts w:hint="eastAsia" w:ascii="宋体" w:hAnsi="宋体" w:cs="宋体"/>
                <w:sz w:val="24"/>
                <w:highlight w:val="yellow"/>
              </w:rPr>
              <w:t>人数</w:t>
            </w:r>
          </w:p>
        </w:tc>
        <w:tc>
          <w:tcPr>
            <w:tcW w:w="10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r>
              <w:rPr>
                <w:rFonts w:hint="eastAsia" w:ascii="宋体" w:hAnsi="宋体" w:cs="宋体"/>
                <w:sz w:val="24"/>
                <w:highlight w:val="yellow"/>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p>
        </w:tc>
        <w:tc>
          <w:tcPr>
            <w:tcW w:w="10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269"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ascii="宋体" w:hAnsi="宋体" w:cs="宋体"/>
                <w:sz w:val="24"/>
              </w:rPr>
            </w:pPr>
            <w:r>
              <w:rPr>
                <w:rFonts w:hint="eastAsia" w:ascii="宋体" w:hAnsi="宋体" w:cs="宋体"/>
                <w:sz w:val="24"/>
              </w:rPr>
              <w:t>学位结构</w:t>
            </w:r>
          </w:p>
        </w:tc>
        <w:tc>
          <w:tcPr>
            <w:tcW w:w="28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博士</w:t>
            </w:r>
          </w:p>
        </w:tc>
        <w:tc>
          <w:tcPr>
            <w:tcW w:w="226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硕士（含在读）</w:t>
            </w:r>
          </w:p>
        </w:tc>
        <w:tc>
          <w:tcPr>
            <w:tcW w:w="2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0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1</w:t>
            </w: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2</w:t>
            </w:r>
            <w:r>
              <w:rPr>
                <w:rFonts w:ascii="宋体" w:hAnsi="宋体" w:cs="宋体"/>
                <w:sz w:val="24"/>
              </w:rPr>
              <w:t>.5%</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25</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62.5</w:t>
            </w:r>
            <w:r>
              <w:rPr>
                <w:rFonts w:hint="eastAsia" w:ascii="宋体" w:hAnsi="宋体" w:cs="宋体"/>
                <w:sz w:val="24"/>
              </w:rPr>
              <w:t>%</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14</w:t>
            </w:r>
          </w:p>
        </w:tc>
        <w:tc>
          <w:tcPr>
            <w:tcW w:w="10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35</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69"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ascii="宋体" w:hAnsi="宋体" w:cs="宋体"/>
                <w:sz w:val="24"/>
              </w:rPr>
            </w:pPr>
            <w:r>
              <w:rPr>
                <w:rFonts w:hint="eastAsia" w:ascii="宋体" w:hAnsi="宋体" w:cs="宋体"/>
                <w:sz w:val="24"/>
              </w:rPr>
              <w:t>双师素质</w:t>
            </w:r>
          </w:p>
        </w:tc>
        <w:tc>
          <w:tcPr>
            <w:tcW w:w="28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是</w:t>
            </w:r>
          </w:p>
        </w:tc>
        <w:tc>
          <w:tcPr>
            <w:tcW w:w="226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否</w:t>
            </w:r>
          </w:p>
        </w:tc>
        <w:tc>
          <w:tcPr>
            <w:tcW w:w="2156"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1"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人数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比例</w:t>
            </w:r>
          </w:p>
        </w:tc>
        <w:tc>
          <w:tcPr>
            <w:tcW w:w="215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2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sz w:val="24"/>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3</w:t>
            </w:r>
          </w:p>
        </w:tc>
        <w:tc>
          <w:tcPr>
            <w:tcW w:w="12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7.5</w:t>
            </w:r>
            <w:r>
              <w:rPr>
                <w:rFonts w:hint="eastAsia" w:ascii="宋体" w:hAnsi="宋体" w:cs="宋体"/>
                <w:sz w:val="24"/>
              </w:rPr>
              <w:t>%</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37</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ascii="宋体" w:hAnsi="宋体" w:cs="宋体"/>
                <w:sz w:val="24"/>
              </w:rPr>
              <w:t>92.5</w:t>
            </w:r>
            <w:r>
              <w:rPr>
                <w:rFonts w:hint="eastAsia" w:ascii="宋体" w:hAnsi="宋体" w:cs="宋体"/>
                <w:sz w:val="24"/>
              </w:rPr>
              <w:t>%</w:t>
            </w:r>
          </w:p>
        </w:tc>
        <w:tc>
          <w:tcPr>
            <w:tcW w:w="215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26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ascii="宋体" w:hAnsi="宋体" w:cs="宋体"/>
                <w:sz w:val="24"/>
              </w:rPr>
            </w:pPr>
            <w:r>
              <w:rPr>
                <w:rFonts w:hint="eastAsia" w:ascii="宋体" w:hAnsi="宋体" w:cs="宋体"/>
                <w:sz w:val="24"/>
              </w:rPr>
              <w:t>行业企业经历</w:t>
            </w:r>
          </w:p>
        </w:tc>
        <w:tc>
          <w:tcPr>
            <w:tcW w:w="28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有</w:t>
            </w:r>
          </w:p>
        </w:tc>
        <w:tc>
          <w:tcPr>
            <w:tcW w:w="226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有</w:t>
            </w:r>
          </w:p>
        </w:tc>
        <w:tc>
          <w:tcPr>
            <w:tcW w:w="2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sz w:val="24"/>
              </w:rPr>
            </w:pPr>
            <w:r>
              <w:rPr>
                <w:rFonts w:hint="eastAsia" w:ascii="宋体" w:hAnsi="宋体" w:cs="宋体"/>
                <w:sz w:val="24"/>
              </w:rPr>
              <w:t>有</w:t>
            </w:r>
          </w:p>
        </w:tc>
      </w:tr>
    </w:tbl>
    <w:p>
      <w:pPr>
        <w:spacing w:line="360" w:lineRule="auto"/>
        <w:rPr>
          <w:rFonts w:ascii="宋体" w:hAnsi="宋体" w:cs="宋体"/>
          <w:color w:val="FF0000"/>
          <w:sz w:val="24"/>
        </w:rPr>
      </w:pPr>
    </w:p>
    <w:p>
      <w:pPr>
        <w:spacing w:line="360" w:lineRule="auto"/>
        <w:ind w:firstLine="420"/>
        <w:rPr>
          <w:rFonts w:ascii="宋体" w:hAnsi="宋体" w:cs="宋体"/>
          <w:sz w:val="24"/>
        </w:rPr>
      </w:pPr>
      <w:r>
        <w:rPr>
          <w:rFonts w:hint="eastAsia" w:ascii="宋体" w:hAnsi="宋体" w:cs="宋体"/>
          <w:sz w:val="24"/>
        </w:rPr>
        <w:t>2.兼职教师</w:t>
      </w:r>
    </w:p>
    <w:p>
      <w:pPr>
        <w:spacing w:line="360" w:lineRule="auto"/>
        <w:ind w:firstLine="420"/>
        <w:rPr>
          <w:rFonts w:ascii="宋体" w:hAnsi="宋体" w:cs="宋体"/>
          <w:sz w:val="24"/>
        </w:rPr>
      </w:pPr>
      <w:r>
        <w:rPr>
          <w:rFonts w:hint="eastAsia" w:ascii="宋体" w:hAnsi="宋体" w:cs="宋体"/>
          <w:sz w:val="24"/>
        </w:rPr>
        <w:t>音乐表演专业还聘请了企业经验丰富的兼职老师，负责本专业的部分实践教学。</w:t>
      </w:r>
    </w:p>
    <w:p>
      <w:pPr>
        <w:widowControl/>
        <w:jc w:val="left"/>
        <w:rPr>
          <w:rFonts w:ascii="宋体" w:hAnsi="宋体" w:cs="宋体"/>
          <w:sz w:val="24"/>
        </w:rPr>
      </w:pPr>
      <w:r>
        <w:rPr>
          <w:rFonts w:ascii="宋体" w:hAnsi="宋体" w:cs="宋体"/>
          <w:sz w:val="24"/>
        </w:rPr>
        <w:br w:type="page"/>
      </w:r>
    </w:p>
    <w:p>
      <w:pPr>
        <w:spacing w:line="360" w:lineRule="auto"/>
        <w:ind w:firstLine="420"/>
        <w:jc w:val="center"/>
        <w:rPr>
          <w:rFonts w:ascii="宋体" w:hAnsi="宋体" w:cs="宋体"/>
          <w:sz w:val="24"/>
        </w:rPr>
      </w:pPr>
      <w:r>
        <w:rPr>
          <w:rFonts w:hint="eastAsia" w:ascii="宋体" w:hAnsi="宋体" w:cs="宋体"/>
          <w:sz w:val="24"/>
        </w:rPr>
        <w:t>兼职教师一览表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spacing w:line="36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序号</w:t>
            </w:r>
          </w:p>
        </w:tc>
        <w:tc>
          <w:tcPr>
            <w:tcW w:w="1390" w:type="dxa"/>
            <w:vAlign w:val="center"/>
          </w:tcPr>
          <w:p>
            <w:pPr>
              <w:spacing w:line="36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姓名</w:t>
            </w:r>
          </w:p>
        </w:tc>
        <w:tc>
          <w:tcPr>
            <w:tcW w:w="4568" w:type="dxa"/>
            <w:vAlign w:val="center"/>
          </w:tcPr>
          <w:p>
            <w:pPr>
              <w:spacing w:line="36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工作单位</w:t>
            </w:r>
          </w:p>
        </w:tc>
        <w:tc>
          <w:tcPr>
            <w:tcW w:w="2802" w:type="dxa"/>
            <w:vAlign w:val="center"/>
          </w:tcPr>
          <w:p>
            <w:pPr>
              <w:spacing w:line="36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 w:hRule="atLeast"/>
          <w:jc w:val="center"/>
        </w:trPr>
        <w:tc>
          <w:tcPr>
            <w:tcW w:w="909"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w:t>
            </w:r>
          </w:p>
        </w:tc>
        <w:tc>
          <w:tcPr>
            <w:tcW w:w="139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甘毅明</w:t>
            </w:r>
          </w:p>
        </w:tc>
        <w:tc>
          <w:tcPr>
            <w:tcW w:w="4568"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茂名市文化馆</w:t>
            </w:r>
          </w:p>
        </w:tc>
        <w:tc>
          <w:tcPr>
            <w:tcW w:w="2802"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副研究馆员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w:t>
            </w:r>
          </w:p>
        </w:tc>
        <w:tc>
          <w:tcPr>
            <w:tcW w:w="1390" w:type="dxa"/>
            <w:vAlign w:val="center"/>
          </w:tcPr>
          <w:p>
            <w:pPr>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薛永嘉</w:t>
            </w:r>
          </w:p>
        </w:tc>
        <w:tc>
          <w:tcPr>
            <w:tcW w:w="4568"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茂名市梅舞嘉音艺术中心</w:t>
            </w:r>
          </w:p>
        </w:tc>
        <w:tc>
          <w:tcPr>
            <w:tcW w:w="2802" w:type="dxa"/>
            <w:vAlign w:val="center"/>
          </w:tcPr>
          <w:p>
            <w:pPr>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3</w:t>
            </w:r>
          </w:p>
        </w:tc>
        <w:tc>
          <w:tcPr>
            <w:tcW w:w="1390" w:type="dxa"/>
            <w:vAlign w:val="center"/>
          </w:tcPr>
          <w:p>
            <w:pPr>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徐金阳</w:t>
            </w:r>
          </w:p>
        </w:tc>
        <w:tc>
          <w:tcPr>
            <w:tcW w:w="4568"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岭南师范学院</w:t>
            </w:r>
          </w:p>
        </w:tc>
        <w:tc>
          <w:tcPr>
            <w:tcW w:w="2802" w:type="dxa"/>
            <w:vAlign w:val="center"/>
          </w:tcPr>
          <w:p>
            <w:pPr>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9"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4</w:t>
            </w:r>
          </w:p>
        </w:tc>
        <w:tc>
          <w:tcPr>
            <w:tcW w:w="139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p>
        </w:tc>
        <w:tc>
          <w:tcPr>
            <w:tcW w:w="4568"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p>
        </w:tc>
        <w:tc>
          <w:tcPr>
            <w:tcW w:w="2802"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p>
        </w:tc>
      </w:tr>
    </w:tbl>
    <w:p>
      <w:pPr>
        <w:spacing w:line="360" w:lineRule="auto"/>
        <w:ind w:firstLine="480" w:firstLineChars="200"/>
        <w:outlineLvl w:val="0"/>
        <w:rPr>
          <w:rStyle w:val="8"/>
          <w:rFonts w:ascii="宋体" w:hAnsi="宋体" w:cs="宋体"/>
          <w:b w:val="0"/>
          <w:color w:val="FF0000"/>
          <w:sz w:val="24"/>
        </w:rPr>
      </w:pPr>
    </w:p>
    <w:p>
      <w:pPr>
        <w:spacing w:line="360" w:lineRule="auto"/>
        <w:ind w:firstLine="482" w:firstLineChars="200"/>
        <w:outlineLvl w:val="0"/>
        <w:rPr>
          <w:rStyle w:val="8"/>
          <w:rFonts w:ascii="宋体" w:hAnsi="宋体" w:cs="宋体"/>
          <w:sz w:val="24"/>
        </w:rPr>
      </w:pPr>
      <w:r>
        <w:rPr>
          <w:rStyle w:val="8"/>
          <w:rFonts w:hint="eastAsia" w:ascii="宋体" w:hAnsi="宋体" w:cs="宋体"/>
          <w:sz w:val="24"/>
        </w:rPr>
        <w:t>（二）教学设施</w:t>
      </w:r>
    </w:p>
    <w:p>
      <w:pPr>
        <w:spacing w:line="360" w:lineRule="auto"/>
        <w:ind w:firstLine="480" w:firstLineChars="200"/>
        <w:rPr>
          <w:rFonts w:ascii="宋体" w:hAnsi="宋体" w:cs="宋体"/>
          <w:bCs/>
          <w:position w:val="6"/>
          <w:sz w:val="24"/>
        </w:rPr>
      </w:pPr>
      <w:r>
        <w:rPr>
          <w:rFonts w:hint="eastAsia" w:ascii="宋体" w:hAnsi="宋体" w:cs="宋体"/>
          <w:bCs/>
          <w:position w:val="6"/>
          <w:sz w:val="24"/>
        </w:rPr>
        <w:t>本专业有校内实训基地两个，可以提供所有上机实训。校外实训基地8个，可以提供学生校外真实项目实训。</w:t>
      </w:r>
    </w:p>
    <w:p>
      <w:pPr>
        <w:spacing w:line="360" w:lineRule="auto"/>
        <w:ind w:firstLine="480" w:firstLineChars="200"/>
        <w:jc w:val="center"/>
        <w:rPr>
          <w:rFonts w:ascii="宋体" w:hAnsi="宋体" w:cs="宋体"/>
          <w:position w:val="6"/>
          <w:sz w:val="24"/>
        </w:rPr>
      </w:pPr>
      <w:r>
        <w:rPr>
          <w:rFonts w:hint="eastAsia" w:ascii="宋体" w:hAnsi="宋体" w:cs="宋体"/>
          <w:bCs/>
          <w:position w:val="6"/>
          <w:sz w:val="24"/>
        </w:rPr>
        <w:t>校内实训基地一览表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1173"/>
        <w:gridCol w:w="1803"/>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spacing w:line="360" w:lineRule="auto"/>
              <w:jc w:val="center"/>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序号</w:t>
            </w:r>
          </w:p>
        </w:tc>
        <w:tc>
          <w:tcPr>
            <w:tcW w:w="1516" w:type="dxa"/>
            <w:vAlign w:val="center"/>
          </w:tcPr>
          <w:p>
            <w:pPr>
              <w:widowControl/>
              <w:spacing w:line="360" w:lineRule="auto"/>
              <w:jc w:val="center"/>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实训室名称</w:t>
            </w:r>
          </w:p>
        </w:tc>
        <w:tc>
          <w:tcPr>
            <w:tcW w:w="1173" w:type="dxa"/>
            <w:vAlign w:val="center"/>
          </w:tcPr>
          <w:p>
            <w:pPr>
              <w:widowControl/>
              <w:spacing w:line="360" w:lineRule="auto"/>
              <w:jc w:val="center"/>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位置</w:t>
            </w:r>
          </w:p>
        </w:tc>
        <w:tc>
          <w:tcPr>
            <w:tcW w:w="1803" w:type="dxa"/>
            <w:vAlign w:val="center"/>
          </w:tcPr>
          <w:p>
            <w:pPr>
              <w:widowControl/>
              <w:spacing w:line="360" w:lineRule="auto"/>
              <w:jc w:val="center"/>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教学科目</w:t>
            </w:r>
          </w:p>
        </w:tc>
        <w:tc>
          <w:tcPr>
            <w:tcW w:w="1737" w:type="dxa"/>
            <w:vAlign w:val="center"/>
          </w:tcPr>
          <w:p>
            <w:pPr>
              <w:widowControl/>
              <w:spacing w:line="360" w:lineRule="auto"/>
              <w:jc w:val="center"/>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实验设备</w:t>
            </w:r>
          </w:p>
        </w:tc>
        <w:tc>
          <w:tcPr>
            <w:tcW w:w="2073" w:type="dxa"/>
            <w:vAlign w:val="center"/>
          </w:tcPr>
          <w:p>
            <w:pPr>
              <w:widowControl/>
              <w:spacing w:line="360" w:lineRule="auto"/>
              <w:jc w:val="center"/>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舞蹈实训室（一）</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实训楼A栋一层</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音响设备、舞蹈设施及道具</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舞蹈实训室（二）</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实训楼A栋一层</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音响设备、舞蹈设施及道具</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3</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舞蹈实训室（三）</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实训楼A栋一层</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音响设备、舞蹈设施及道具</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4</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舞蹈实训室（四）</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实训楼D栋一层</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音响设备、舞蹈设施及道具</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舞蹈教学、节目排练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5</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民乐实训室</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实训楼C栋401室</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《器乐基础》</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各民乐乐器</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民乐教学、节目排练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6</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管乐实训室</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实训楼C栋403室</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《器乐基础》</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各管乐乐器</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管乐教学、节目排练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7</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合唱实训室</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实训楼C栋301室</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《合唱与指挥》</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合唱台</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合唱教学、节目排练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8</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教学仿真室</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实训楼D栋303室</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《小学音乐课程与教学论》</w:t>
            </w:r>
          </w:p>
        </w:tc>
        <w:tc>
          <w:tcPr>
            <w:tcW w:w="1737" w:type="dxa"/>
            <w:vAlign w:val="center"/>
          </w:tcPr>
          <w:p>
            <w:pPr>
              <w:widowControl/>
              <w:spacing w:line="360" w:lineRule="auto"/>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多媒体平台、个打击乐器等</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模拟课堂教学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9</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流行音乐实训室</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实训楼C栋505室</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《声乐》</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音响设备及吉他等乐器</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声乐教学、节目排练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10</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录音棚</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实训楼C栋405室</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多媒体制作</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录音平台及实体录音设备</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音乐制作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11</w:t>
            </w:r>
          </w:p>
        </w:tc>
        <w:tc>
          <w:tcPr>
            <w:tcW w:w="1516"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非遗展厅</w:t>
            </w:r>
          </w:p>
        </w:tc>
        <w:tc>
          <w:tcPr>
            <w:tcW w:w="11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实训楼C栋401室</w:t>
            </w:r>
          </w:p>
        </w:tc>
        <w:tc>
          <w:tcPr>
            <w:tcW w:w="180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《中华优秀传统文化》</w:t>
            </w:r>
          </w:p>
        </w:tc>
        <w:tc>
          <w:tcPr>
            <w:tcW w:w="1737"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各非遗道具及实物</w:t>
            </w:r>
          </w:p>
        </w:tc>
        <w:tc>
          <w:tcPr>
            <w:tcW w:w="2073" w:type="dxa"/>
            <w:vAlign w:val="center"/>
          </w:tcPr>
          <w:p>
            <w:pPr>
              <w:widowControl/>
              <w:spacing w:line="360" w:lineRule="auto"/>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传统文化教学与展览</w:t>
            </w:r>
          </w:p>
        </w:tc>
      </w:tr>
    </w:tbl>
    <w:p>
      <w:pPr>
        <w:spacing w:line="360" w:lineRule="auto"/>
        <w:ind w:left="420"/>
        <w:rPr>
          <w:rFonts w:ascii="宋体" w:hAnsi="宋体" w:cs="宋体"/>
          <w:color w:val="FF0000"/>
          <w:position w:val="6"/>
          <w:sz w:val="24"/>
        </w:rPr>
      </w:pPr>
    </w:p>
    <w:p>
      <w:pPr>
        <w:spacing w:line="360" w:lineRule="auto"/>
        <w:ind w:left="420"/>
        <w:jc w:val="center"/>
        <w:rPr>
          <w:rFonts w:ascii="宋体" w:hAnsi="宋体" w:cs="宋体"/>
          <w:position w:val="6"/>
          <w:sz w:val="24"/>
        </w:rPr>
      </w:pPr>
      <w:r>
        <w:rPr>
          <w:rFonts w:hint="eastAsia" w:ascii="宋体" w:hAnsi="宋体" w:cs="宋体"/>
          <w:position w:val="6"/>
          <w:sz w:val="24"/>
        </w:rPr>
        <w:t>校外实训基地一览表</w:t>
      </w:r>
    </w:p>
    <w:tbl>
      <w:tblPr>
        <w:tblStyle w:val="6"/>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cs="宋体"/>
                <w:b/>
                <w:sz w:val="24"/>
              </w:rPr>
            </w:pPr>
            <w:r>
              <w:rPr>
                <w:rFonts w:hint="eastAsia" w:ascii="宋体" w:hAnsi="宋体" w:cs="宋体"/>
                <w:b/>
                <w:sz w:val="24"/>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1</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ascii="宋体" w:hAnsi="宋体" w:cs="宋体"/>
                <w:sz w:val="24"/>
              </w:rPr>
              <w:t>茂名市愉园小学</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spacing w:line="360" w:lineRule="auto"/>
              <w:jc w:val="left"/>
              <w:rPr>
                <w:rFonts w:ascii="宋体" w:hAnsi="宋体" w:cs="宋体"/>
                <w:kern w:val="0"/>
                <w:sz w:val="24"/>
              </w:rPr>
            </w:pPr>
            <w:r>
              <w:rPr>
                <w:rFonts w:ascii="宋体" w:hAnsi="宋体" w:cs="宋体"/>
                <w:kern w:val="0"/>
                <w:sz w:val="24"/>
              </w:rPr>
              <w:t>教育实习、器乐普及、民乐</w:t>
            </w:r>
            <w:r>
              <w:rPr>
                <w:rFonts w:hint="eastAsia" w:ascii="宋体" w:hAnsi="宋体" w:cs="宋体"/>
                <w:kern w:val="0"/>
                <w:sz w:val="24"/>
              </w:rPr>
              <w:t>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2</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ascii="宋体" w:hAnsi="宋体" w:cs="宋体"/>
                <w:sz w:val="24"/>
              </w:rPr>
              <w:t>茂名市东湾学校</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spacing w:line="360" w:lineRule="auto"/>
              <w:rPr>
                <w:rFonts w:ascii="宋体" w:hAnsi="宋体" w:cs="宋体"/>
                <w:kern w:val="0"/>
                <w:sz w:val="24"/>
              </w:rPr>
            </w:pPr>
            <w:r>
              <w:rPr>
                <w:rFonts w:ascii="宋体" w:hAnsi="宋体" w:cs="宋体"/>
                <w:kern w:val="0"/>
                <w:sz w:val="24"/>
              </w:rPr>
              <w:t>教育实习、器乐普及、合唱训练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3</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ascii="宋体" w:hAnsi="宋体" w:cs="宋体"/>
                <w:sz w:val="24"/>
              </w:rPr>
              <w:t>中鹏教育集团</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cs="宋体"/>
                <w:sz w:val="24"/>
              </w:rPr>
            </w:pPr>
            <w:r>
              <w:rPr>
                <w:rFonts w:ascii="宋体" w:hAnsi="宋体" w:cs="宋体"/>
                <w:kern w:val="0"/>
                <w:sz w:val="24"/>
              </w:rPr>
              <w:t>教育实习、艺术实践</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cr/>
            </w:r>
            <w:r>
              <w:rPr>
                <w:rFonts w:hint="eastAsia" w:ascii="宋体" w:hAnsi="宋体" w:cs="宋体"/>
                <w:b/>
                <w:sz w:val="24"/>
              </w:rPr>
              <w:t>4</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ascii="宋体" w:hAnsi="宋体" w:cs="宋体"/>
                <w:sz w:val="24"/>
              </w:rPr>
              <w:t>茂名市祥和中学</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cs="宋体"/>
                <w:sz w:val="24"/>
              </w:rPr>
            </w:pPr>
            <w:r>
              <w:rPr>
                <w:rFonts w:ascii="宋体" w:hAnsi="宋体" w:cs="宋体"/>
                <w:kern w:val="0"/>
                <w:sz w:val="24"/>
              </w:rPr>
              <w:t>教育实习、</w:t>
            </w:r>
            <w:r>
              <w:rPr>
                <w:rFonts w:ascii="宋体" w:hAnsi="宋体" w:cs="宋体"/>
                <w:sz w:val="24"/>
              </w:rPr>
              <w:t>管乐合奏训练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5</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ascii="宋体" w:hAnsi="宋体" w:cs="宋体"/>
                <w:sz w:val="24"/>
              </w:rPr>
              <w:t>茂名市</w:t>
            </w:r>
            <w:r>
              <w:rPr>
                <w:rFonts w:hint="eastAsia" w:ascii="宋体" w:hAnsi="宋体" w:cs="宋体"/>
                <w:sz w:val="24"/>
              </w:rPr>
              <w:t>桥北</w:t>
            </w:r>
            <w:r>
              <w:rPr>
                <w:rFonts w:ascii="宋体" w:hAnsi="宋体" w:cs="宋体"/>
                <w:sz w:val="24"/>
              </w:rPr>
              <w:t>小学</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cs="宋体"/>
                <w:sz w:val="24"/>
              </w:rPr>
            </w:pPr>
            <w:r>
              <w:rPr>
                <w:rFonts w:ascii="宋体" w:hAnsi="宋体" w:cs="宋体"/>
                <w:kern w:val="0"/>
                <w:sz w:val="24"/>
              </w:rPr>
              <w:t>教育实习、</w:t>
            </w:r>
            <w:r>
              <w:rPr>
                <w:rFonts w:ascii="宋体" w:hAnsi="宋体" w:cs="宋体"/>
                <w:sz w:val="24"/>
              </w:rPr>
              <w:t>仪仗队训练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6</w:t>
            </w:r>
          </w:p>
        </w:tc>
        <w:tc>
          <w:tcPr>
            <w:tcW w:w="2665" w:type="dxa"/>
            <w:tcBorders>
              <w:top w:val="single" w:color="auto" w:sz="2" w:space="0"/>
              <w:left w:val="single" w:color="auto" w:sz="2" w:space="0"/>
              <w:bottom w:val="single" w:color="auto" w:sz="12" w:space="0"/>
              <w:right w:val="single" w:color="auto" w:sz="2" w:space="0"/>
            </w:tcBorders>
            <w:vAlign w:val="center"/>
          </w:tcPr>
          <w:p>
            <w:pPr>
              <w:spacing w:line="360" w:lineRule="auto"/>
              <w:rPr>
                <w:rFonts w:ascii="宋体" w:hAnsi="宋体" w:cs="宋体"/>
                <w:sz w:val="24"/>
              </w:rPr>
            </w:pPr>
            <w:r>
              <w:rPr>
                <w:rFonts w:ascii="宋体" w:hAnsi="宋体" w:cs="宋体"/>
                <w:sz w:val="24"/>
              </w:rPr>
              <w:t>高州师范附属第一小学</w:t>
            </w:r>
          </w:p>
        </w:tc>
        <w:tc>
          <w:tcPr>
            <w:tcW w:w="5792" w:type="dxa"/>
            <w:tcBorders>
              <w:top w:val="single" w:color="auto" w:sz="2" w:space="0"/>
              <w:left w:val="single" w:color="auto" w:sz="2" w:space="0"/>
              <w:bottom w:val="single" w:color="auto" w:sz="12" w:space="0"/>
              <w:right w:val="single" w:color="auto" w:sz="12" w:space="0"/>
            </w:tcBorders>
            <w:vAlign w:val="center"/>
          </w:tcPr>
          <w:p>
            <w:pPr>
              <w:spacing w:line="360" w:lineRule="auto"/>
              <w:rPr>
                <w:rFonts w:ascii="宋体" w:hAnsi="宋体" w:cs="宋体"/>
                <w:sz w:val="24"/>
              </w:rPr>
            </w:pPr>
            <w:r>
              <w:rPr>
                <w:rFonts w:ascii="宋体" w:hAnsi="宋体" w:cs="宋体"/>
                <w:kern w:val="0"/>
                <w:sz w:val="24"/>
              </w:rPr>
              <w:t>教育实习、</w:t>
            </w:r>
            <w:r>
              <w:rPr>
                <w:rFonts w:hint="eastAsia" w:ascii="宋体" w:hAnsi="宋体" w:cs="宋体"/>
                <w:sz w:val="24"/>
              </w:rPr>
              <w:t>器乐</w:t>
            </w:r>
            <w:r>
              <w:rPr>
                <w:rFonts w:ascii="宋体" w:hAnsi="宋体" w:cs="宋体"/>
                <w:sz w:val="24"/>
              </w:rPr>
              <w:t>普及、</w:t>
            </w:r>
            <w:r>
              <w:rPr>
                <w:rFonts w:hint="eastAsia" w:ascii="宋体" w:hAnsi="宋体" w:cs="宋体"/>
                <w:sz w:val="24"/>
              </w:rPr>
              <w:t>民乐</w:t>
            </w:r>
            <w:r>
              <w:rPr>
                <w:rFonts w:ascii="宋体" w:hAnsi="宋体" w:cs="宋体"/>
                <w:sz w:val="24"/>
              </w:rPr>
              <w:t>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7</w:t>
            </w:r>
          </w:p>
        </w:tc>
        <w:tc>
          <w:tcPr>
            <w:tcW w:w="2665" w:type="dxa"/>
            <w:tcBorders>
              <w:top w:val="single" w:color="auto" w:sz="2" w:space="0"/>
              <w:left w:val="single" w:color="auto" w:sz="2" w:space="0"/>
              <w:bottom w:val="single" w:color="auto" w:sz="12" w:space="0"/>
              <w:right w:val="single" w:color="auto" w:sz="2" w:space="0"/>
            </w:tcBorders>
            <w:vAlign w:val="center"/>
          </w:tcPr>
          <w:p>
            <w:pPr>
              <w:spacing w:line="360" w:lineRule="auto"/>
              <w:rPr>
                <w:rFonts w:ascii="宋体" w:hAnsi="宋体" w:cs="宋体"/>
                <w:sz w:val="24"/>
              </w:rPr>
            </w:pPr>
            <w:r>
              <w:rPr>
                <w:rFonts w:ascii="宋体" w:hAnsi="宋体" w:cs="宋体"/>
                <w:sz w:val="24"/>
              </w:rPr>
              <w:t>九恒星艺术教育联盟</w:t>
            </w:r>
          </w:p>
        </w:tc>
        <w:tc>
          <w:tcPr>
            <w:tcW w:w="5792" w:type="dxa"/>
            <w:tcBorders>
              <w:top w:val="single" w:color="auto" w:sz="2" w:space="0"/>
              <w:left w:val="single" w:color="auto" w:sz="2" w:space="0"/>
              <w:bottom w:val="single" w:color="auto" w:sz="12" w:space="0"/>
              <w:right w:val="single" w:color="auto" w:sz="12" w:space="0"/>
            </w:tcBorders>
            <w:vAlign w:val="center"/>
          </w:tcPr>
          <w:p>
            <w:pPr>
              <w:spacing w:line="360" w:lineRule="auto"/>
              <w:rPr>
                <w:rFonts w:ascii="宋体" w:hAnsi="宋体" w:cs="宋体"/>
                <w:kern w:val="0"/>
                <w:sz w:val="24"/>
              </w:rPr>
            </w:pPr>
            <w:r>
              <w:rPr>
                <w:rFonts w:ascii="宋体" w:hAnsi="宋体" w:cs="宋体"/>
                <w:kern w:val="0"/>
                <w:sz w:val="24"/>
              </w:rPr>
              <w:t>教育实习、</w:t>
            </w:r>
            <w:r>
              <w:rPr>
                <w:rFonts w:hint="eastAsia" w:ascii="宋体" w:hAnsi="宋体" w:cs="宋体"/>
                <w:kern w:val="0"/>
                <w:sz w:val="24"/>
              </w:rPr>
              <w:t>艺术</w:t>
            </w:r>
            <w:r>
              <w:rPr>
                <w:rFonts w:ascii="宋体" w:hAnsi="宋体" w:cs="宋体"/>
                <w:kern w:val="0"/>
                <w:sz w:val="24"/>
              </w:rPr>
              <w:t>实践</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cs="宋体"/>
                <w:b/>
                <w:sz w:val="24"/>
              </w:rPr>
            </w:pPr>
            <w:r>
              <w:rPr>
                <w:rFonts w:hint="eastAsia" w:ascii="宋体" w:hAnsi="宋体" w:cs="宋体"/>
                <w:b/>
                <w:sz w:val="24"/>
              </w:rPr>
              <w:t>8</w:t>
            </w:r>
          </w:p>
        </w:tc>
        <w:tc>
          <w:tcPr>
            <w:tcW w:w="2665" w:type="dxa"/>
            <w:tcBorders>
              <w:top w:val="single" w:color="auto" w:sz="2" w:space="0"/>
              <w:left w:val="single" w:color="auto" w:sz="2" w:space="0"/>
              <w:bottom w:val="single" w:color="auto" w:sz="12" w:space="0"/>
              <w:right w:val="single" w:color="auto" w:sz="2" w:space="0"/>
            </w:tcBorders>
            <w:vAlign w:val="center"/>
          </w:tcPr>
          <w:p>
            <w:pPr>
              <w:spacing w:line="360" w:lineRule="auto"/>
              <w:rPr>
                <w:rFonts w:ascii="宋体" w:hAnsi="宋体" w:cs="宋体"/>
                <w:kern w:val="0"/>
                <w:sz w:val="24"/>
              </w:rPr>
            </w:pPr>
            <w:r>
              <w:rPr>
                <w:rFonts w:ascii="宋体" w:hAnsi="宋体" w:cs="宋体"/>
                <w:kern w:val="0"/>
                <w:sz w:val="24"/>
              </w:rPr>
              <w:t>高州市文明路小学</w:t>
            </w:r>
          </w:p>
        </w:tc>
        <w:tc>
          <w:tcPr>
            <w:tcW w:w="5792" w:type="dxa"/>
            <w:tcBorders>
              <w:top w:val="single" w:color="auto" w:sz="2" w:space="0"/>
              <w:left w:val="single" w:color="auto" w:sz="2" w:space="0"/>
              <w:bottom w:val="single" w:color="auto" w:sz="12" w:space="0"/>
              <w:right w:val="single" w:color="auto" w:sz="12" w:space="0"/>
            </w:tcBorders>
            <w:vAlign w:val="center"/>
          </w:tcPr>
          <w:p>
            <w:pPr>
              <w:spacing w:line="360" w:lineRule="auto"/>
              <w:rPr>
                <w:rFonts w:ascii="宋体" w:hAnsi="宋体" w:cs="宋体"/>
                <w:sz w:val="24"/>
              </w:rPr>
            </w:pPr>
            <w:r>
              <w:rPr>
                <w:rFonts w:ascii="宋体" w:hAnsi="宋体" w:cs="宋体"/>
                <w:kern w:val="0"/>
                <w:sz w:val="24"/>
              </w:rPr>
              <w:t>教育实习、器乐普及</w:t>
            </w:r>
          </w:p>
        </w:tc>
      </w:tr>
    </w:tbl>
    <w:p>
      <w:pPr>
        <w:spacing w:line="360" w:lineRule="auto"/>
        <w:ind w:firstLine="482" w:firstLineChars="200"/>
        <w:outlineLvl w:val="0"/>
        <w:rPr>
          <w:rStyle w:val="8"/>
          <w:rFonts w:ascii="宋体" w:hAnsi="宋体" w:cs="宋体"/>
          <w:color w:val="FF0000"/>
          <w:sz w:val="24"/>
        </w:rPr>
      </w:pPr>
    </w:p>
    <w:p>
      <w:pPr>
        <w:spacing w:line="360" w:lineRule="auto"/>
        <w:ind w:firstLine="482" w:firstLineChars="200"/>
        <w:outlineLvl w:val="0"/>
        <w:rPr>
          <w:rStyle w:val="8"/>
          <w:rFonts w:ascii="宋体" w:hAnsi="宋体" w:cs="宋体"/>
          <w:color w:val="000000" w:themeColor="text1"/>
          <w:sz w:val="24"/>
          <w14:textFill>
            <w14:solidFill>
              <w14:schemeClr w14:val="tx1"/>
            </w14:solidFill>
          </w14:textFill>
        </w:rPr>
      </w:pPr>
      <w:r>
        <w:rPr>
          <w:rStyle w:val="8"/>
          <w:rFonts w:hint="eastAsia" w:ascii="宋体" w:hAnsi="宋体" w:cs="宋体"/>
          <w:color w:val="000000" w:themeColor="text1"/>
          <w:sz w:val="24"/>
          <w14:textFill>
            <w14:solidFill>
              <w14:schemeClr w14:val="tx1"/>
            </w14:solidFill>
          </w14:textFill>
        </w:rPr>
        <w:t>（三）教学资源</w:t>
      </w:r>
    </w:p>
    <w:p>
      <w:pPr>
        <w:spacing w:line="360" w:lineRule="auto"/>
        <w:ind w:firstLine="42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1.教材选用</w:t>
      </w:r>
    </w:p>
    <w:p>
      <w:pPr>
        <w:spacing w:line="360" w:lineRule="auto"/>
        <w:ind w:firstLine="42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人才培养方案的实施必须做好教学资料的配套编写工作，即通过专业核心课程的开发，做好教学内容的整合，编写具有教学特点的课程标准。后期还可以组织专业教师和外聘教师共同开发，编印成校用教材，同时编写配套的实践环节教学指导用书等，确保方案的顺利实施。</w:t>
      </w:r>
    </w:p>
    <w:p>
      <w:pPr>
        <w:spacing w:line="360" w:lineRule="auto"/>
        <w:ind w:firstLine="42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2.数字资源配备有关基本要求：逐步建成课程资源库、精品课资源库、专业特色专题库、专业试卷库、专业图片库、专业视频动画库、专业合作企业库、真实项目资源库等数字资源。</w:t>
      </w:r>
    </w:p>
    <w:p>
      <w:pPr>
        <w:adjustRightInd w:val="0"/>
        <w:snapToGrid w:val="0"/>
        <w:spacing w:line="360" w:lineRule="auto"/>
        <w:rPr>
          <w:rFonts w:ascii="宋体" w:hAnsi="宋体" w:cs="宋体"/>
          <w:color w:val="FF0000"/>
          <w:sz w:val="24"/>
        </w:rPr>
      </w:pPr>
    </w:p>
    <w:p>
      <w:pPr>
        <w:spacing w:line="360" w:lineRule="auto"/>
        <w:ind w:firstLine="421"/>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十、质量保障</w:t>
      </w:r>
    </w:p>
    <w:p>
      <w:pPr>
        <w:pStyle w:val="5"/>
        <w:shd w:val="clear" w:color="auto" w:fill="FFFFFF"/>
        <w:spacing w:before="0" w:beforeAutospacing="0" w:after="0" w:afterAutospacing="0" w:line="360" w:lineRule="auto"/>
        <w:ind w:firstLine="420"/>
        <w:jc w:val="both"/>
        <w:rPr>
          <w:bCs/>
          <w:kern w:val="2"/>
        </w:rPr>
      </w:pPr>
      <w:r>
        <w:rPr>
          <w:rFonts w:hint="eastAsia"/>
          <w:bCs/>
          <w:color w:val="000000" w:themeColor="text1"/>
          <w:kern w:val="2"/>
          <w14:textFill>
            <w14:solidFill>
              <w14:schemeClr w14:val="tx1"/>
            </w14:solidFill>
          </w14:textFill>
        </w:rPr>
        <w:t>人才培养方案的实</w:t>
      </w:r>
      <w:r>
        <w:rPr>
          <w:rFonts w:hint="eastAsia"/>
          <w:bCs/>
          <w:kern w:val="2"/>
        </w:rPr>
        <w:t>施过程中，必须加强教学运行过程及质量监控，完善各项管理制度，定期召开学生座谈会，建立教学质量信箱及网络测评制度等，及时掌握和监控教学运行过程。</w:t>
      </w:r>
    </w:p>
    <w:p>
      <w:pPr>
        <w:pStyle w:val="5"/>
        <w:shd w:val="clear" w:color="auto" w:fill="FFFFFF"/>
        <w:spacing w:before="0" w:beforeAutospacing="0" w:after="0" w:afterAutospacing="0" w:line="360" w:lineRule="auto"/>
        <w:ind w:firstLine="420"/>
        <w:jc w:val="both"/>
        <w:rPr>
          <w:bCs/>
        </w:rPr>
      </w:pPr>
      <w:r>
        <w:rPr>
          <w:rFonts w:hint="eastAsia"/>
          <w:bCs/>
          <w:kern w:val="2"/>
        </w:rPr>
        <w:t>一是人才培养目标系统，主要监控专业人才培养目标定位、人才培养方案等；二是人才培养过程系统，主要监控教学大纲的制订（修订）和实施、师资的配备、课堂教学质量、教学内容和手段的改革、考核内容和方式的改革等；三是人才培养质量系统，主要监控课程合格率、优秀率、各项竞赛获奖率、创新能力等。</w:t>
      </w:r>
    </w:p>
    <w:p>
      <w:pPr>
        <w:spacing w:line="360" w:lineRule="auto"/>
        <w:ind w:firstLine="421"/>
        <w:rPr>
          <w:rFonts w:ascii="宋体" w:hAnsi="宋体" w:cs="宋体"/>
          <w:b/>
          <w:sz w:val="24"/>
        </w:rPr>
      </w:pPr>
    </w:p>
    <w:p>
      <w:pPr>
        <w:spacing w:line="360" w:lineRule="auto"/>
        <w:ind w:firstLine="421"/>
        <w:rPr>
          <w:rFonts w:ascii="宋体" w:hAnsi="宋体" w:cs="宋体"/>
          <w:b/>
          <w:sz w:val="24"/>
        </w:rPr>
      </w:pPr>
      <w:r>
        <w:rPr>
          <w:rFonts w:hint="eastAsia" w:ascii="宋体" w:hAnsi="宋体" w:cs="宋体"/>
          <w:b/>
          <w:sz w:val="24"/>
        </w:rPr>
        <w:t>（一）组织落实，加强领导</w:t>
      </w:r>
    </w:p>
    <w:p>
      <w:pPr>
        <w:spacing w:line="360" w:lineRule="auto"/>
        <w:ind w:firstLine="421"/>
        <w:rPr>
          <w:rFonts w:ascii="宋体" w:hAnsi="宋体" w:cs="宋体"/>
          <w:bCs/>
          <w:sz w:val="24"/>
        </w:rPr>
      </w:pPr>
      <w:r>
        <w:rPr>
          <w:rFonts w:hint="eastAsia" w:ascii="宋体" w:hAnsi="宋体" w:cs="宋体"/>
          <w:bCs/>
          <w:sz w:val="24"/>
        </w:rPr>
        <w:t>建立教学执行组织与监督评估组织双线运行的组织框架，如下图：</w:t>
      </w:r>
    </w:p>
    <w:p>
      <w:pPr>
        <w:spacing w:line="360" w:lineRule="auto"/>
        <w:jc w:val="center"/>
        <w:rPr>
          <w:rFonts w:ascii="宋体" w:hAnsi="宋体" w:cs="宋体"/>
          <w:sz w:val="24"/>
        </w:rPr>
      </w:pPr>
      <w:r>
        <w:rPr>
          <w:rFonts w:hint="eastAsia" w:ascii="宋体" w:hAnsi="宋体" w:cs="宋体"/>
          <w:sz w:val="24"/>
        </w:rPr>
        <w:drawing>
          <wp:inline distT="0" distB="0" distL="0" distR="0">
            <wp:extent cx="4060190" cy="2171065"/>
            <wp:effectExtent l="0" t="0" r="165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099244" cy="2192065"/>
                    </a:xfrm>
                    <a:prstGeom prst="rect">
                      <a:avLst/>
                    </a:prstGeom>
                  </pic:spPr>
                </pic:pic>
              </a:graphicData>
            </a:graphic>
          </wp:inline>
        </w:drawing>
      </w:r>
    </w:p>
    <w:p>
      <w:pPr>
        <w:tabs>
          <w:tab w:val="left" w:pos="993"/>
        </w:tabs>
        <w:spacing w:line="360" w:lineRule="auto"/>
        <w:rPr>
          <w:rFonts w:ascii="宋体" w:hAnsi="宋体" w:cs="宋体"/>
          <w:sz w:val="24"/>
        </w:rPr>
      </w:pPr>
    </w:p>
    <w:p>
      <w:pPr>
        <w:spacing w:line="360" w:lineRule="auto"/>
        <w:ind w:firstLine="241" w:firstLineChars="100"/>
        <w:rPr>
          <w:rFonts w:ascii="宋体" w:hAnsi="宋体" w:cs="宋体"/>
          <w:b/>
          <w:sz w:val="24"/>
        </w:rPr>
      </w:pPr>
      <w:r>
        <w:rPr>
          <w:rFonts w:hint="eastAsia" w:ascii="宋体" w:hAnsi="宋体" w:cs="宋体"/>
          <w:b/>
          <w:sz w:val="24"/>
        </w:rPr>
        <w:t>（二）确立教学过程监控体系</w:t>
      </w:r>
    </w:p>
    <w:p>
      <w:pPr>
        <w:pStyle w:val="5"/>
        <w:shd w:val="clear" w:color="auto" w:fill="FFFFFF"/>
        <w:spacing w:before="0" w:beforeAutospacing="0" w:after="0" w:afterAutospacing="0" w:line="360" w:lineRule="auto"/>
        <w:ind w:firstLine="420"/>
        <w:rPr>
          <w:bCs/>
          <w:kern w:val="2"/>
        </w:rPr>
      </w:pPr>
      <w:r>
        <w:rPr>
          <w:rFonts w:hint="eastAsia"/>
          <w:bCs/>
          <w:kern w:val="2"/>
        </w:rPr>
        <w:t>按照教学进程安排，工作分开学初、学期中和学期末三个阶段进行：</w:t>
      </w:r>
    </w:p>
    <w:p>
      <w:pPr>
        <w:pStyle w:val="5"/>
        <w:shd w:val="clear" w:color="auto" w:fill="FFFFFF"/>
        <w:spacing w:before="0" w:beforeAutospacing="0" w:after="0" w:afterAutospacing="0" w:line="360" w:lineRule="auto"/>
        <w:ind w:firstLine="420"/>
        <w:rPr>
          <w:bCs/>
          <w:kern w:val="2"/>
        </w:rPr>
      </w:pPr>
      <w:r>
        <w:rPr>
          <w:rFonts w:hint="eastAsia"/>
          <w:bCs/>
          <w:kern w:val="2"/>
        </w:rPr>
        <w:t>1．开学初教学检查（第1-3周）</w:t>
      </w:r>
    </w:p>
    <w:p>
      <w:pPr>
        <w:pStyle w:val="5"/>
        <w:shd w:val="clear" w:color="auto" w:fill="FFFFFF"/>
        <w:spacing w:before="0" w:beforeAutospacing="0" w:after="0" w:afterAutospacing="0" w:line="360" w:lineRule="auto"/>
        <w:ind w:firstLine="420"/>
        <w:rPr>
          <w:bCs/>
          <w:kern w:val="2"/>
        </w:rPr>
      </w:pPr>
      <w:r>
        <w:rPr>
          <w:rFonts w:hint="eastAsia"/>
          <w:bCs/>
          <w:kern w:val="2"/>
        </w:rPr>
        <w:t>（1）检查开学准备工作</w:t>
      </w:r>
    </w:p>
    <w:p>
      <w:pPr>
        <w:pStyle w:val="5"/>
        <w:shd w:val="clear" w:color="auto" w:fill="FFFFFF"/>
        <w:spacing w:before="0" w:beforeAutospacing="0" w:after="0" w:afterAutospacing="0" w:line="360" w:lineRule="auto"/>
        <w:ind w:firstLine="420"/>
        <w:rPr>
          <w:bCs/>
          <w:kern w:val="2"/>
        </w:rPr>
      </w:pPr>
      <w:r>
        <w:rPr>
          <w:rFonts w:hint="eastAsia"/>
          <w:bCs/>
          <w:kern w:val="2"/>
        </w:rPr>
        <w:t>（2）检查学生报到注册情况以及落实专业复查工作</w:t>
      </w:r>
    </w:p>
    <w:p>
      <w:pPr>
        <w:pStyle w:val="5"/>
        <w:shd w:val="clear" w:color="auto" w:fill="FFFFFF"/>
        <w:spacing w:before="0" w:beforeAutospacing="0" w:after="0" w:afterAutospacing="0" w:line="360" w:lineRule="auto"/>
        <w:ind w:firstLine="420"/>
        <w:rPr>
          <w:bCs/>
          <w:kern w:val="2"/>
        </w:rPr>
      </w:pPr>
      <w:r>
        <w:rPr>
          <w:rFonts w:hint="eastAsia"/>
          <w:bCs/>
          <w:kern w:val="2"/>
        </w:rPr>
        <w:t>（3）检查学生到课和上课情况</w:t>
      </w:r>
    </w:p>
    <w:p>
      <w:pPr>
        <w:pStyle w:val="5"/>
        <w:shd w:val="clear" w:color="auto" w:fill="FFFFFF"/>
        <w:spacing w:before="0" w:beforeAutospacing="0" w:after="0" w:afterAutospacing="0" w:line="360" w:lineRule="auto"/>
        <w:ind w:firstLine="420"/>
        <w:rPr>
          <w:bCs/>
          <w:kern w:val="2"/>
        </w:rPr>
      </w:pPr>
      <w:r>
        <w:rPr>
          <w:rFonts w:hint="eastAsia"/>
          <w:bCs/>
          <w:kern w:val="2"/>
        </w:rPr>
        <w:t>（4）检查教师到课和上课情况（教学巡视、听课）</w:t>
      </w:r>
    </w:p>
    <w:p>
      <w:pPr>
        <w:pStyle w:val="5"/>
        <w:shd w:val="clear" w:color="auto" w:fill="FFFFFF"/>
        <w:spacing w:before="0" w:beforeAutospacing="0" w:after="0" w:afterAutospacing="0" w:line="360" w:lineRule="auto"/>
        <w:ind w:firstLine="420"/>
        <w:rPr>
          <w:bCs/>
          <w:kern w:val="2"/>
        </w:rPr>
      </w:pPr>
      <w:r>
        <w:rPr>
          <w:rFonts w:hint="eastAsia"/>
          <w:bCs/>
          <w:kern w:val="2"/>
        </w:rPr>
        <w:t>（5）检查教室和设备运转情况</w:t>
      </w:r>
    </w:p>
    <w:p>
      <w:pPr>
        <w:pStyle w:val="5"/>
        <w:shd w:val="clear" w:color="auto" w:fill="FFFFFF"/>
        <w:spacing w:before="0" w:beforeAutospacing="0" w:after="0" w:afterAutospacing="0" w:line="360" w:lineRule="auto"/>
        <w:ind w:firstLine="420"/>
        <w:rPr>
          <w:bCs/>
          <w:kern w:val="2"/>
        </w:rPr>
      </w:pPr>
      <w:r>
        <w:rPr>
          <w:rFonts w:hint="eastAsia"/>
          <w:bCs/>
          <w:kern w:val="2"/>
        </w:rPr>
        <w:t>（6）检查教学文件及质量（教学周历、教案和课件）</w:t>
      </w:r>
    </w:p>
    <w:p>
      <w:pPr>
        <w:pStyle w:val="5"/>
        <w:shd w:val="clear" w:color="auto" w:fill="FFFFFF"/>
        <w:spacing w:before="0" w:beforeAutospacing="0" w:after="0" w:afterAutospacing="0" w:line="360" w:lineRule="auto"/>
        <w:ind w:firstLine="420"/>
        <w:rPr>
          <w:bCs/>
          <w:kern w:val="2"/>
        </w:rPr>
      </w:pPr>
      <w:r>
        <w:rPr>
          <w:rFonts w:hint="eastAsia"/>
          <w:bCs/>
          <w:kern w:val="2"/>
        </w:rPr>
        <w:t>（7）检查全程教育实践各阶段活动的准备情况</w:t>
      </w:r>
    </w:p>
    <w:p>
      <w:pPr>
        <w:pStyle w:val="5"/>
        <w:shd w:val="clear" w:color="auto" w:fill="FFFFFF"/>
        <w:spacing w:before="0" w:beforeAutospacing="0" w:after="0" w:afterAutospacing="0" w:line="360" w:lineRule="auto"/>
        <w:ind w:firstLine="420"/>
        <w:rPr>
          <w:bCs/>
          <w:kern w:val="2"/>
        </w:rPr>
      </w:pPr>
      <w:r>
        <w:rPr>
          <w:rFonts w:hint="eastAsia"/>
          <w:bCs/>
          <w:kern w:val="2"/>
        </w:rPr>
        <w:t>2．期中教学检查（第8-11周）</w:t>
      </w:r>
    </w:p>
    <w:p>
      <w:pPr>
        <w:pStyle w:val="5"/>
        <w:shd w:val="clear" w:color="auto" w:fill="FFFFFF"/>
        <w:spacing w:before="0" w:beforeAutospacing="0" w:after="0" w:afterAutospacing="0" w:line="360" w:lineRule="auto"/>
        <w:ind w:firstLine="420"/>
        <w:rPr>
          <w:bCs/>
          <w:kern w:val="2"/>
        </w:rPr>
      </w:pPr>
      <w:r>
        <w:rPr>
          <w:rFonts w:hint="eastAsia"/>
          <w:bCs/>
          <w:kern w:val="2"/>
        </w:rPr>
        <w:t>（1）检查教学工作基本状态（教师上课、学生出勤、课堂秩序等）</w:t>
      </w:r>
    </w:p>
    <w:p>
      <w:pPr>
        <w:pStyle w:val="5"/>
        <w:shd w:val="clear" w:color="auto" w:fill="FFFFFF"/>
        <w:spacing w:before="0" w:beforeAutospacing="0" w:after="0" w:afterAutospacing="0" w:line="360" w:lineRule="auto"/>
        <w:ind w:firstLine="420"/>
        <w:rPr>
          <w:bCs/>
          <w:kern w:val="2"/>
        </w:rPr>
      </w:pPr>
      <w:r>
        <w:rPr>
          <w:rFonts w:hint="eastAsia"/>
          <w:bCs/>
          <w:kern w:val="2"/>
        </w:rPr>
        <w:t>（2）辅导、答疑和作业批改情况</w:t>
      </w:r>
    </w:p>
    <w:p>
      <w:pPr>
        <w:pStyle w:val="5"/>
        <w:shd w:val="clear" w:color="auto" w:fill="FFFFFF"/>
        <w:spacing w:before="0" w:beforeAutospacing="0" w:after="0" w:afterAutospacing="0" w:line="360" w:lineRule="auto"/>
        <w:ind w:firstLine="420"/>
        <w:rPr>
          <w:bCs/>
          <w:kern w:val="2"/>
        </w:rPr>
      </w:pPr>
      <w:r>
        <w:rPr>
          <w:rFonts w:hint="eastAsia"/>
          <w:bCs/>
          <w:kern w:val="2"/>
        </w:rPr>
        <w:t>（3）组织听课、召开教师评教、评学座谈会</w:t>
      </w:r>
    </w:p>
    <w:p>
      <w:pPr>
        <w:pStyle w:val="5"/>
        <w:shd w:val="clear" w:color="auto" w:fill="FFFFFF"/>
        <w:spacing w:before="0" w:beforeAutospacing="0" w:after="0" w:afterAutospacing="0" w:line="360" w:lineRule="auto"/>
        <w:ind w:firstLine="420"/>
        <w:rPr>
          <w:bCs/>
          <w:kern w:val="2"/>
        </w:rPr>
      </w:pPr>
      <w:r>
        <w:rPr>
          <w:rFonts w:hint="eastAsia"/>
          <w:bCs/>
          <w:kern w:val="2"/>
        </w:rPr>
        <w:t>（4）进行期中学生评教调查问卷</w:t>
      </w:r>
    </w:p>
    <w:p>
      <w:pPr>
        <w:pStyle w:val="5"/>
        <w:shd w:val="clear" w:color="auto" w:fill="FFFFFF"/>
        <w:spacing w:before="0" w:beforeAutospacing="0" w:after="0" w:afterAutospacing="0" w:line="360" w:lineRule="auto"/>
        <w:ind w:firstLine="420"/>
        <w:rPr>
          <w:bCs/>
          <w:kern w:val="2"/>
        </w:rPr>
      </w:pPr>
      <w:r>
        <w:rPr>
          <w:rFonts w:hint="eastAsia"/>
          <w:bCs/>
          <w:kern w:val="2"/>
        </w:rPr>
        <w:t>（5）期中教学检查工作总结</w:t>
      </w:r>
    </w:p>
    <w:p>
      <w:pPr>
        <w:pStyle w:val="5"/>
        <w:shd w:val="clear" w:color="auto" w:fill="FFFFFF"/>
        <w:spacing w:before="0" w:beforeAutospacing="0" w:after="0" w:afterAutospacing="0" w:line="360" w:lineRule="auto"/>
        <w:ind w:firstLine="420"/>
        <w:rPr>
          <w:bCs/>
          <w:kern w:val="2"/>
        </w:rPr>
      </w:pPr>
      <w:r>
        <w:rPr>
          <w:rFonts w:hint="eastAsia"/>
          <w:bCs/>
          <w:kern w:val="2"/>
        </w:rPr>
        <w:t>（6）学生课外学习情况检查</w:t>
      </w:r>
    </w:p>
    <w:p>
      <w:pPr>
        <w:pStyle w:val="5"/>
        <w:shd w:val="clear" w:color="auto" w:fill="FFFFFF"/>
        <w:spacing w:before="0" w:beforeAutospacing="0" w:after="0" w:afterAutospacing="0" w:line="360" w:lineRule="auto"/>
        <w:ind w:firstLine="420"/>
        <w:rPr>
          <w:bCs/>
          <w:kern w:val="2"/>
        </w:rPr>
      </w:pPr>
      <w:r>
        <w:rPr>
          <w:rFonts w:hint="eastAsia"/>
          <w:bCs/>
          <w:kern w:val="2"/>
        </w:rPr>
        <w:t>（7）巡视各教学实践基地检查教育实习工作（听课、听实习汇报）</w:t>
      </w:r>
    </w:p>
    <w:p>
      <w:pPr>
        <w:pStyle w:val="5"/>
        <w:shd w:val="clear" w:color="auto" w:fill="FFFFFF"/>
        <w:spacing w:before="0" w:beforeAutospacing="0" w:after="0" w:afterAutospacing="0" w:line="360" w:lineRule="auto"/>
        <w:ind w:firstLine="420"/>
        <w:rPr>
          <w:bCs/>
          <w:kern w:val="2"/>
        </w:rPr>
      </w:pPr>
      <w:r>
        <w:rPr>
          <w:rFonts w:hint="eastAsia"/>
          <w:bCs/>
          <w:kern w:val="2"/>
        </w:rPr>
        <w:t>（8）毕业班实习工作总结与成绩评定，评选优秀实习生</w:t>
      </w:r>
    </w:p>
    <w:p>
      <w:pPr>
        <w:pStyle w:val="5"/>
        <w:shd w:val="clear" w:color="auto" w:fill="FFFFFF"/>
        <w:spacing w:before="0" w:beforeAutospacing="0" w:after="0" w:afterAutospacing="0" w:line="360" w:lineRule="auto"/>
        <w:ind w:firstLine="420"/>
        <w:rPr>
          <w:bCs/>
          <w:kern w:val="2"/>
        </w:rPr>
      </w:pPr>
      <w:r>
        <w:rPr>
          <w:rFonts w:hint="eastAsia"/>
          <w:bCs/>
          <w:kern w:val="2"/>
        </w:rPr>
        <w:t>（9）巡视或了解全程教育实践各阶段活动的开展</w:t>
      </w:r>
    </w:p>
    <w:p>
      <w:pPr>
        <w:pStyle w:val="5"/>
        <w:shd w:val="clear" w:color="auto" w:fill="FFFFFF"/>
        <w:spacing w:before="0" w:beforeAutospacing="0" w:after="0" w:afterAutospacing="0" w:line="360" w:lineRule="auto"/>
        <w:ind w:firstLine="420"/>
        <w:rPr>
          <w:bCs/>
          <w:kern w:val="2"/>
        </w:rPr>
      </w:pPr>
      <w:r>
        <w:rPr>
          <w:rFonts w:hint="eastAsia"/>
          <w:bCs/>
          <w:kern w:val="2"/>
        </w:rPr>
        <w:t>3．期末教学检查（第16-20周）</w:t>
      </w:r>
    </w:p>
    <w:p>
      <w:pPr>
        <w:pStyle w:val="5"/>
        <w:shd w:val="clear" w:color="auto" w:fill="FFFFFF"/>
        <w:spacing w:before="0" w:beforeAutospacing="0" w:after="0" w:afterAutospacing="0" w:line="360" w:lineRule="auto"/>
        <w:ind w:firstLine="420"/>
        <w:rPr>
          <w:bCs/>
          <w:kern w:val="2"/>
        </w:rPr>
      </w:pPr>
      <w:r>
        <w:rPr>
          <w:rFonts w:hint="eastAsia"/>
          <w:bCs/>
          <w:kern w:val="2"/>
        </w:rPr>
        <w:t>（1）检查期末教学秩序</w:t>
      </w:r>
    </w:p>
    <w:p>
      <w:pPr>
        <w:pStyle w:val="5"/>
        <w:shd w:val="clear" w:color="auto" w:fill="FFFFFF"/>
        <w:spacing w:before="0" w:beforeAutospacing="0" w:after="0" w:afterAutospacing="0" w:line="360" w:lineRule="auto"/>
        <w:ind w:firstLine="420"/>
        <w:rPr>
          <w:bCs/>
          <w:kern w:val="2"/>
        </w:rPr>
      </w:pPr>
      <w:r>
        <w:rPr>
          <w:rFonts w:hint="eastAsia"/>
          <w:bCs/>
          <w:kern w:val="2"/>
        </w:rPr>
        <w:t>（2）期末试卷出题把关（相关人员填写试卷质量分析表、审核表等）</w:t>
      </w:r>
    </w:p>
    <w:p>
      <w:pPr>
        <w:pStyle w:val="5"/>
        <w:shd w:val="clear" w:color="auto" w:fill="FFFFFF"/>
        <w:spacing w:before="0" w:beforeAutospacing="0" w:after="0" w:afterAutospacing="0" w:line="360" w:lineRule="auto"/>
        <w:ind w:firstLine="420"/>
        <w:rPr>
          <w:bCs/>
          <w:kern w:val="2"/>
        </w:rPr>
      </w:pPr>
      <w:r>
        <w:rPr>
          <w:rFonts w:hint="eastAsia"/>
          <w:bCs/>
          <w:kern w:val="2"/>
        </w:rPr>
        <w:t>（3）检查期末考试情况</w:t>
      </w:r>
    </w:p>
    <w:p>
      <w:pPr>
        <w:pStyle w:val="5"/>
        <w:shd w:val="clear" w:color="auto" w:fill="FFFFFF"/>
        <w:spacing w:before="0" w:beforeAutospacing="0" w:after="0" w:afterAutospacing="0" w:line="360" w:lineRule="auto"/>
        <w:ind w:firstLine="420"/>
        <w:rPr>
          <w:bCs/>
          <w:kern w:val="2"/>
        </w:rPr>
      </w:pPr>
      <w:r>
        <w:rPr>
          <w:rFonts w:hint="eastAsia"/>
          <w:bCs/>
          <w:kern w:val="2"/>
        </w:rPr>
        <w:t>（4）组织阅卷、登分工作（相关人员填写阅卷质量分析表、成绩册等）</w:t>
      </w:r>
    </w:p>
    <w:p>
      <w:pPr>
        <w:pStyle w:val="5"/>
        <w:shd w:val="clear" w:color="auto" w:fill="FFFFFF"/>
        <w:spacing w:before="0" w:beforeAutospacing="0" w:after="0" w:afterAutospacing="0" w:line="360" w:lineRule="auto"/>
        <w:ind w:firstLine="420"/>
        <w:rPr>
          <w:bCs/>
          <w:kern w:val="2"/>
        </w:rPr>
      </w:pPr>
      <w:r>
        <w:rPr>
          <w:rFonts w:hint="eastAsia"/>
          <w:bCs/>
          <w:kern w:val="2"/>
        </w:rPr>
        <w:t>（5）检查期末文件归档</w:t>
      </w:r>
    </w:p>
    <w:p>
      <w:pPr>
        <w:pStyle w:val="5"/>
        <w:shd w:val="clear" w:color="auto" w:fill="FFFFFF"/>
        <w:spacing w:before="0" w:beforeAutospacing="0" w:after="0" w:afterAutospacing="0" w:line="360" w:lineRule="auto"/>
        <w:ind w:firstLine="420"/>
        <w:rPr>
          <w:bCs/>
          <w:kern w:val="2"/>
        </w:rPr>
      </w:pPr>
      <w:r>
        <w:rPr>
          <w:rFonts w:hint="eastAsia"/>
          <w:bCs/>
          <w:kern w:val="2"/>
        </w:rPr>
        <w:t>（6）对试卷后期质量进行检查与总结</w:t>
      </w:r>
    </w:p>
    <w:p>
      <w:pPr>
        <w:pStyle w:val="5"/>
        <w:shd w:val="clear" w:color="auto" w:fill="FFFFFF"/>
        <w:spacing w:before="0" w:beforeAutospacing="0" w:after="0" w:afterAutospacing="0" w:line="360" w:lineRule="auto"/>
        <w:ind w:firstLine="420"/>
        <w:rPr>
          <w:bCs/>
          <w:kern w:val="2"/>
        </w:rPr>
      </w:pPr>
      <w:r>
        <w:rPr>
          <w:rFonts w:hint="eastAsia"/>
          <w:bCs/>
          <w:kern w:val="2"/>
        </w:rPr>
        <w:t>（7）检查期末实践环节</w:t>
      </w:r>
    </w:p>
    <w:p>
      <w:pPr>
        <w:pStyle w:val="5"/>
        <w:shd w:val="clear" w:color="auto" w:fill="FFFFFF"/>
        <w:spacing w:before="0" w:beforeAutospacing="0" w:after="0" w:afterAutospacing="0" w:line="360" w:lineRule="auto"/>
        <w:ind w:firstLine="420"/>
        <w:rPr>
          <w:bCs/>
          <w:kern w:val="2"/>
        </w:rPr>
      </w:pPr>
    </w:p>
    <w:p>
      <w:pPr>
        <w:spacing w:line="360" w:lineRule="auto"/>
        <w:ind w:firstLine="421"/>
        <w:rPr>
          <w:rFonts w:ascii="宋体" w:hAnsi="宋体" w:cs="宋体"/>
          <w:b/>
          <w:sz w:val="24"/>
        </w:rPr>
      </w:pPr>
      <w:r>
        <w:rPr>
          <w:rFonts w:hint="eastAsia" w:ascii="宋体" w:hAnsi="宋体" w:cs="宋体"/>
          <w:b/>
          <w:sz w:val="24"/>
        </w:rPr>
        <w:t>（三）加强教学质量管理和监控</w:t>
      </w:r>
    </w:p>
    <w:p>
      <w:pPr>
        <w:spacing w:line="360" w:lineRule="auto"/>
        <w:ind w:firstLine="421"/>
        <w:rPr>
          <w:rFonts w:ascii="宋体" w:hAnsi="宋体" w:cs="宋体"/>
          <w:bCs/>
          <w:sz w:val="24"/>
        </w:rPr>
      </w:pPr>
      <w:r>
        <w:rPr>
          <w:rFonts w:hint="eastAsia" w:ascii="宋体" w:hAnsi="宋体" w:cs="宋体"/>
          <w:bCs/>
          <w:sz w:val="24"/>
        </w:rPr>
        <w:t>加强课堂教学质量，需要制定专业教学督导工作实施细则等文件。细则需要规定教学督导室成员的构成，教学督导员应具备的条件、主要职责、评课标准、评课流程以及考核计筹等。</w:t>
      </w:r>
    </w:p>
    <w:p>
      <w:pPr>
        <w:spacing w:line="360" w:lineRule="auto"/>
        <w:ind w:firstLine="421"/>
        <w:rPr>
          <w:rFonts w:ascii="宋体" w:hAnsi="宋体" w:cs="宋体"/>
          <w:bCs/>
          <w:sz w:val="24"/>
        </w:rPr>
      </w:pPr>
      <w:r>
        <w:rPr>
          <w:rFonts w:hint="eastAsia" w:ascii="宋体" w:hAnsi="宋体" w:cs="宋体"/>
          <w:bCs/>
          <w:sz w:val="24"/>
        </w:rPr>
        <w:t>首先需要制定和完善各实践环节的课程标准、指导书、评价标准等教学资料；二是制定和完善实践教学管理文件，加强校内实训、校内外实习管理，同时规范校外实习基地的运行；最后是依托教学督导室、学生信息站、实践实习检查小组等机构，对实践教学过程和教学效果实施质量监督，对信息进行收集分析并有效利用，及时纠偏，不断提高实践环节教学质量。</w:t>
      </w:r>
    </w:p>
    <w:p>
      <w:pPr>
        <w:pStyle w:val="5"/>
        <w:shd w:val="clear" w:color="auto" w:fill="FFFFFF"/>
        <w:spacing w:before="0" w:beforeAutospacing="0" w:after="0" w:afterAutospacing="0" w:line="360" w:lineRule="auto"/>
        <w:ind w:firstLine="420"/>
        <w:jc w:val="both"/>
        <w:rPr>
          <w:bCs/>
          <w:kern w:val="2"/>
        </w:rPr>
      </w:pPr>
      <w:r>
        <w:rPr>
          <w:rFonts w:hint="eastAsia"/>
          <w:bCs/>
          <w:kern w:val="2"/>
        </w:rPr>
        <w:t>加强教学质量的"三全"管理，即全面性管理，全员性管理，全程性管理。让全体师生都参与到教学质量管理中，加强对教学工作过程环节性的管理，明确各个环节的质量标准，使教师在备课质量、上课、作业、辅导质量等方面得到有效控制；使学生在预习、听课、复习质量等方面得到监控。</w:t>
      </w:r>
    </w:p>
    <w:p>
      <w:pPr>
        <w:pStyle w:val="5"/>
        <w:shd w:val="clear" w:color="auto" w:fill="FFFFFF"/>
        <w:spacing w:before="0" w:beforeAutospacing="0" w:after="0" w:afterAutospacing="0" w:line="360" w:lineRule="auto"/>
        <w:ind w:firstLine="420"/>
        <w:jc w:val="both"/>
        <w:rPr>
          <w:bCs/>
          <w:kern w:val="2"/>
        </w:rPr>
      </w:pPr>
      <w:r>
        <w:rPr>
          <w:rFonts w:hint="eastAsia"/>
          <w:bCs/>
          <w:kern w:val="2"/>
        </w:rPr>
        <w:t>坚持教学质量的检查的“四结合”，即集中检查与日常检查相结合；普遍检查和随机抽查相结合；检查与指导相结合；教师自检与互查相结合。</w:t>
      </w:r>
    </w:p>
    <w:p>
      <w:pPr>
        <w:pStyle w:val="5"/>
        <w:shd w:val="clear" w:color="auto" w:fill="FFFFFF"/>
        <w:spacing w:before="0" w:beforeAutospacing="0" w:after="0" w:afterAutospacing="0" w:line="360" w:lineRule="auto"/>
        <w:ind w:firstLine="420"/>
        <w:jc w:val="both"/>
        <w:rPr>
          <w:bCs/>
          <w:kern w:val="2"/>
        </w:rPr>
      </w:pPr>
      <w:r>
        <w:rPr>
          <w:rFonts w:hint="eastAsia"/>
          <w:bCs/>
          <w:kern w:val="2"/>
        </w:rPr>
        <w:t>改革教学质量的评价。实现教学质量的评价的“三结合”，即过程性评价和终结评价相结合；定量评价与定性评价相结合；与教师学期评价相结合。对教学质量进行多层面分析。</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p>
    <w:p>
      <w:pPr>
        <w:spacing w:line="360" w:lineRule="auto"/>
        <w:ind w:firstLine="421"/>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其中，学分替换规则如下表所示：</w:t>
      </w:r>
    </w:p>
    <w:p>
      <w:pPr>
        <w:spacing w:line="360" w:lineRule="auto"/>
        <w:rPr>
          <w:rFonts w:ascii="宋体" w:hAnsi="宋体" w:cs="宋体"/>
          <w:color w:val="000000" w:themeColor="text1"/>
          <w:sz w:val="24"/>
          <w14:textFill>
            <w14:solidFill>
              <w14:schemeClr w14:val="tx1"/>
            </w14:solidFill>
          </w14:textFill>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类别</w:t>
            </w:r>
          </w:p>
        </w:tc>
        <w:tc>
          <w:tcPr>
            <w:tcW w:w="6258" w:type="dxa"/>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技能竞赛类</w:t>
            </w: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教育行政主管部门组织的竞赛</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其他行业协会或社会组织的竞赛</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校级竞赛</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项目开发类</w:t>
            </w: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自主实施的项目开发</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参与老师组织的项目开发</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职业资格证书类</w:t>
            </w: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人力资源和社会保障系统职业资格证书</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发明专利类</w:t>
            </w: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发明专利</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取得发明专利可替换8学分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实用新型专利</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取得实用新型专利可替换6学分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360" w:lineRule="auto"/>
              <w:rPr>
                <w:rFonts w:ascii="宋体" w:hAnsi="宋体" w:cs="宋体"/>
                <w:color w:val="000000" w:themeColor="text1"/>
                <w:sz w:val="24"/>
                <w14:textFill>
                  <w14:solidFill>
                    <w14:schemeClr w14:val="tx1"/>
                  </w14:solidFill>
                </w14:textFill>
              </w:rPr>
            </w:pPr>
          </w:p>
        </w:tc>
        <w:tc>
          <w:tcPr>
            <w:tcW w:w="2160"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外观设计专利</w:t>
            </w:r>
          </w:p>
        </w:tc>
        <w:tc>
          <w:tcPr>
            <w:tcW w:w="6258" w:type="dxa"/>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取得外观设计专利可替换4学分</w:t>
            </w:r>
          </w:p>
        </w:tc>
      </w:tr>
    </w:tbl>
    <w:p>
      <w:pPr>
        <w:spacing w:line="360" w:lineRule="auto"/>
        <w:ind w:firstLine="421"/>
        <w:rPr>
          <w:rFonts w:ascii="宋体" w:hAnsi="宋体" w:cs="宋体"/>
          <w:color w:val="FF0000"/>
          <w:sz w:val="24"/>
        </w:rPr>
      </w:pPr>
    </w:p>
    <w:p>
      <w:pPr>
        <w:adjustRightInd w:val="0"/>
        <w:snapToGrid w:val="0"/>
        <w:spacing w:line="360" w:lineRule="auto"/>
        <w:rPr>
          <w:rFonts w:ascii="宋体" w:hAnsi="宋体" w:cs="宋体"/>
          <w:b/>
          <w:bCs/>
          <w:color w:val="FF0000"/>
          <w:sz w:val="24"/>
        </w:rPr>
      </w:pPr>
    </w:p>
    <w:p>
      <w:pPr>
        <w:spacing w:line="360" w:lineRule="auto"/>
        <w:outlineLvl w:val="0"/>
        <w:rPr>
          <w:rFonts w:ascii="宋体" w:hAnsi="宋体" w:cs="宋体"/>
          <w:sz w:val="24"/>
        </w:rPr>
      </w:pPr>
      <w:r>
        <w:rPr>
          <w:rFonts w:hint="eastAsia" w:ascii="宋体" w:hAnsi="宋体" w:cs="宋体"/>
          <w:b/>
          <w:sz w:val="24"/>
        </w:rPr>
        <w:t>十一、教学进程安排</w:t>
      </w:r>
    </w:p>
    <w:p>
      <w:pPr>
        <w:adjustRightInd w:val="0"/>
        <w:snapToGrid w:val="0"/>
        <w:spacing w:line="360" w:lineRule="auto"/>
        <w:ind w:firstLine="840" w:firstLineChars="350"/>
        <w:rPr>
          <w:rFonts w:ascii="宋体" w:hAnsi="宋体" w:cs="宋体"/>
          <w:sz w:val="24"/>
        </w:rPr>
      </w:pPr>
      <w:r>
        <w:rPr>
          <w:rFonts w:hint="eastAsia" w:ascii="宋体" w:hAnsi="宋体" w:cs="宋体"/>
          <w:sz w:val="24"/>
        </w:rPr>
        <w:t>1.理论与实践教学分配及比例表（见附件1－1）</w:t>
      </w:r>
    </w:p>
    <w:p>
      <w:pPr>
        <w:adjustRightInd w:val="0"/>
        <w:snapToGrid w:val="0"/>
        <w:spacing w:line="360" w:lineRule="auto"/>
        <w:ind w:firstLine="840" w:firstLineChars="350"/>
        <w:rPr>
          <w:rFonts w:ascii="宋体" w:hAnsi="宋体" w:cs="宋体"/>
          <w:sz w:val="24"/>
        </w:rPr>
      </w:pPr>
      <w:r>
        <w:rPr>
          <w:rFonts w:hint="eastAsia" w:ascii="宋体" w:hAnsi="宋体" w:cs="宋体"/>
          <w:sz w:val="24"/>
        </w:rPr>
        <w:t>2.</w:t>
      </w:r>
      <w:r>
        <w:rPr>
          <w:rFonts w:ascii="宋体" w:hAnsi="宋体" w:cs="宋体"/>
          <w:sz w:val="24"/>
        </w:rPr>
        <w:t>广东茂名幼儿师范专科学校音乐表演专业课程计划表</w:t>
      </w:r>
      <w:r>
        <w:rPr>
          <w:rFonts w:hint="eastAsia" w:ascii="宋体" w:hAnsi="宋体" w:cs="宋体"/>
          <w:sz w:val="24"/>
        </w:rPr>
        <w:t>（见附件1－2）</w:t>
      </w:r>
    </w:p>
    <w:p>
      <w:pPr>
        <w:adjustRightInd w:val="0"/>
        <w:snapToGrid w:val="0"/>
        <w:spacing w:line="360" w:lineRule="auto"/>
        <w:ind w:firstLine="840" w:firstLineChars="350"/>
        <w:rPr>
          <w:rFonts w:ascii="宋体" w:hAnsi="宋体" w:cs="宋体"/>
          <w:sz w:val="24"/>
        </w:rPr>
      </w:pPr>
      <w:r>
        <w:rPr>
          <w:rFonts w:hint="eastAsia" w:ascii="宋体" w:hAnsi="宋体" w:cs="宋体"/>
          <w:sz w:val="24"/>
        </w:rPr>
        <w:t>3.专业课教学进程表（见附件1－3）</w:t>
      </w:r>
    </w:p>
    <w:p>
      <w:pPr>
        <w:adjustRightInd w:val="0"/>
        <w:snapToGrid w:val="0"/>
        <w:spacing w:line="360" w:lineRule="auto"/>
        <w:ind w:firstLine="840" w:firstLineChars="350"/>
        <w:rPr>
          <w:rFonts w:ascii="宋体" w:hAnsi="宋体" w:cs="宋体"/>
          <w:b/>
          <w:bCs/>
          <w:sz w:val="24"/>
        </w:rPr>
      </w:pPr>
      <w:r>
        <w:rPr>
          <w:rFonts w:hint="eastAsia" w:ascii="宋体" w:hAnsi="宋体" w:cs="宋体"/>
          <w:sz w:val="24"/>
        </w:rPr>
        <w:t>4.实践课教学进程表（见附件1－4）</w:t>
      </w:r>
    </w:p>
    <w:p>
      <w:pPr>
        <w:adjustRightInd w:val="0"/>
        <w:snapToGrid w:val="0"/>
        <w:spacing w:line="360" w:lineRule="auto"/>
        <w:jc w:val="center"/>
        <w:rPr>
          <w:rFonts w:ascii="宋体" w:hAnsi="宋体" w:cs="宋体"/>
          <w:b/>
          <w:bCs/>
          <w:sz w:val="24"/>
        </w:rPr>
      </w:pPr>
    </w:p>
    <w:p>
      <w:pPr>
        <w:adjustRightInd w:val="0"/>
        <w:snapToGrid w:val="0"/>
        <w:spacing w:line="360" w:lineRule="auto"/>
        <w:jc w:val="center"/>
        <w:rPr>
          <w:rFonts w:ascii="宋体" w:hAnsi="宋体" w:cs="宋体"/>
          <w:b/>
          <w:bCs/>
          <w:sz w:val="24"/>
        </w:rPr>
      </w:pPr>
    </w:p>
    <w:p>
      <w:pPr>
        <w:adjustRightInd w:val="0"/>
        <w:snapToGrid w:val="0"/>
        <w:spacing w:line="360" w:lineRule="auto"/>
        <w:jc w:val="left"/>
        <w:rPr>
          <w:rFonts w:ascii="宋体" w:hAnsi="宋体" w:cs="宋体"/>
          <w:b/>
          <w:bCs/>
          <w:sz w:val="24"/>
        </w:rPr>
      </w:pPr>
      <w:r>
        <w:rPr>
          <w:rFonts w:hint="eastAsia" w:ascii="宋体" w:hAnsi="宋体" w:cs="宋体"/>
          <w:b/>
          <w:bCs/>
          <w:sz w:val="24"/>
        </w:rPr>
        <w:t>附件1-1</w:t>
      </w:r>
    </w:p>
    <w:tbl>
      <w:tblPr>
        <w:tblStyle w:val="6"/>
        <w:tblW w:w="8641" w:type="dxa"/>
        <w:jc w:val="center"/>
        <w:tblLayout w:type="autofit"/>
        <w:tblCellMar>
          <w:top w:w="0" w:type="dxa"/>
          <w:left w:w="108" w:type="dxa"/>
          <w:bottom w:w="0" w:type="dxa"/>
          <w:right w:w="108" w:type="dxa"/>
        </w:tblCellMar>
      </w:tblPr>
      <w:tblGrid>
        <w:gridCol w:w="1011"/>
        <w:gridCol w:w="1656"/>
        <w:gridCol w:w="1334"/>
        <w:gridCol w:w="724"/>
        <w:gridCol w:w="1269"/>
        <w:gridCol w:w="689"/>
        <w:gridCol w:w="1269"/>
        <w:gridCol w:w="689"/>
      </w:tblGrid>
      <w:tr>
        <w:tblPrEx>
          <w:tblCellMar>
            <w:top w:w="0" w:type="dxa"/>
            <w:left w:w="108" w:type="dxa"/>
            <w:bottom w:w="0" w:type="dxa"/>
            <w:right w:w="108" w:type="dxa"/>
          </w:tblCellMar>
        </w:tblPrEx>
        <w:trPr>
          <w:trHeight w:val="320" w:hRule="atLeast"/>
          <w:jc w:val="center"/>
        </w:trPr>
        <w:tc>
          <w:tcPr>
            <w:tcW w:w="8641" w:type="dxa"/>
            <w:gridSpan w:val="8"/>
            <w:tcBorders>
              <w:top w:val="nil"/>
              <w:left w:val="nil"/>
              <w:bottom w:val="nil"/>
              <w:right w:val="nil"/>
            </w:tcBorders>
            <w:shd w:val="clear" w:color="auto" w:fill="auto"/>
            <w:noWrap/>
            <w:vAlign w:val="bottom"/>
          </w:tcPr>
          <w:p>
            <w:pPr>
              <w:widowControl/>
              <w:jc w:val="center"/>
              <w:rPr>
                <w:rFonts w:ascii="等线" w:hAnsi="等线" w:eastAsia="等线" w:cs="宋体"/>
                <w:b/>
                <w:bCs/>
                <w:color w:val="000000"/>
                <w:kern w:val="0"/>
                <w:sz w:val="24"/>
              </w:rPr>
            </w:pPr>
            <w:r>
              <w:rPr>
                <w:rFonts w:hint="eastAsia" w:ascii="等线" w:hAnsi="等线" w:eastAsia="等线" w:cs="宋体"/>
                <w:b/>
                <w:bCs/>
                <w:color w:val="000000"/>
                <w:kern w:val="0"/>
                <w:sz w:val="24"/>
              </w:rPr>
              <w:t>理论与实践教学分配及比例表</w:t>
            </w:r>
          </w:p>
        </w:tc>
      </w:tr>
      <w:tr>
        <w:tblPrEx>
          <w:tblCellMar>
            <w:top w:w="0" w:type="dxa"/>
            <w:left w:w="108" w:type="dxa"/>
            <w:bottom w:w="0" w:type="dxa"/>
            <w:right w:w="108" w:type="dxa"/>
          </w:tblCellMar>
        </w:tblPrEx>
        <w:trPr>
          <w:trHeight w:val="640" w:hRule="atLeast"/>
          <w:jc w:val="center"/>
        </w:trPr>
        <w:tc>
          <w:tcPr>
            <w:tcW w:w="400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w:t>
            </w:r>
          </w:p>
        </w:tc>
        <w:tc>
          <w:tcPr>
            <w:tcW w:w="72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学时</w:t>
            </w:r>
          </w:p>
        </w:tc>
        <w:tc>
          <w:tcPr>
            <w:tcW w:w="126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6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学分</w:t>
            </w:r>
          </w:p>
        </w:tc>
        <w:tc>
          <w:tcPr>
            <w:tcW w:w="126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6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备注</w:t>
            </w:r>
          </w:p>
        </w:tc>
      </w:tr>
      <w:tr>
        <w:tblPrEx>
          <w:tblCellMar>
            <w:top w:w="0" w:type="dxa"/>
            <w:left w:w="108" w:type="dxa"/>
            <w:bottom w:w="0" w:type="dxa"/>
            <w:right w:w="108" w:type="dxa"/>
          </w:tblCellMar>
        </w:tblPrEx>
        <w:trPr>
          <w:trHeight w:val="300" w:hRule="atLeast"/>
          <w:jc w:val="center"/>
        </w:trPr>
        <w:tc>
          <w:tcPr>
            <w:tcW w:w="10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必修课</w:t>
            </w: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340</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13.44%</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51</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34.00%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426</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16.84%</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394</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15.58%</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65</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43.33%</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746</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29.50%</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选修课</w:t>
            </w: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191</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7.55%</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16</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10.67%</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78</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3.08%</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104</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4.11%</w:t>
            </w:r>
          </w:p>
        </w:tc>
        <w:tc>
          <w:tcPr>
            <w:tcW w:w="6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18</w:t>
            </w:r>
          </w:p>
        </w:tc>
        <w:tc>
          <w:tcPr>
            <w:tcW w:w="126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12.00%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65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250</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9.89%</w:t>
            </w:r>
          </w:p>
        </w:tc>
        <w:tc>
          <w:tcPr>
            <w:tcW w:w="68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69"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400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2529</w:t>
            </w:r>
          </w:p>
        </w:tc>
        <w:tc>
          <w:tcPr>
            <w:tcW w:w="12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68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150</w:t>
            </w:r>
          </w:p>
        </w:tc>
        <w:tc>
          <w:tcPr>
            <w:tcW w:w="126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2667"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理论实践教学比</w:t>
            </w: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理论教学</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1029</w:t>
            </w:r>
          </w:p>
        </w:tc>
        <w:tc>
          <w:tcPr>
            <w:tcW w:w="3227"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40.70%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26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实践教学</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1500</w:t>
            </w:r>
          </w:p>
        </w:tc>
        <w:tc>
          <w:tcPr>
            <w:tcW w:w="3227"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59.30%</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400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总计</w:t>
            </w:r>
          </w:p>
        </w:tc>
        <w:tc>
          <w:tcPr>
            <w:tcW w:w="72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2529</w:t>
            </w:r>
          </w:p>
        </w:tc>
        <w:tc>
          <w:tcPr>
            <w:tcW w:w="126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26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68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00" w:hRule="atLeast"/>
          <w:jc w:val="center"/>
        </w:trPr>
        <w:tc>
          <w:tcPr>
            <w:tcW w:w="1011"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656"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334"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724"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269"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2647" w:type="dxa"/>
            <w:gridSpan w:val="3"/>
            <w:tcBorders>
              <w:top w:val="single" w:color="auto" w:sz="4" w:space="0"/>
              <w:left w:val="nil"/>
              <w:bottom w:val="nil"/>
              <w:right w:val="nil"/>
            </w:tcBorders>
            <w:shd w:val="clear" w:color="auto" w:fill="auto"/>
            <w:noWrap/>
            <w:vAlign w:val="bottom"/>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制表人：简悦</w:t>
            </w:r>
          </w:p>
        </w:tc>
      </w:tr>
    </w:tbl>
    <w:p>
      <w:pPr>
        <w:adjustRightInd w:val="0"/>
        <w:snapToGrid w:val="0"/>
        <w:spacing w:line="360" w:lineRule="auto"/>
        <w:jc w:val="left"/>
        <w:rPr>
          <w:rFonts w:ascii="宋体" w:hAnsi="宋体" w:cs="宋体"/>
          <w:sz w:val="24"/>
        </w:rPr>
      </w:pPr>
    </w:p>
    <w:p>
      <w:pPr>
        <w:widowControl/>
        <w:jc w:val="left"/>
        <w:rPr>
          <w:rFonts w:ascii="宋体" w:hAnsi="宋体" w:cs="宋体"/>
          <w:sz w:val="24"/>
        </w:rPr>
      </w:pPr>
      <w:r>
        <w:rPr>
          <w:rFonts w:ascii="宋体" w:hAnsi="宋体" w:cs="宋体"/>
          <w:sz w:val="24"/>
        </w:rPr>
        <w:br w:type="page"/>
      </w:r>
    </w:p>
    <w:p>
      <w:pPr>
        <w:adjustRightInd w:val="0"/>
        <w:snapToGrid w:val="0"/>
        <w:spacing w:line="360" w:lineRule="auto"/>
        <w:jc w:val="left"/>
        <w:rPr>
          <w:rFonts w:ascii="宋体" w:hAnsi="宋体" w:cs="宋体"/>
          <w:sz w:val="24"/>
        </w:rPr>
      </w:pPr>
    </w:p>
    <w:p>
      <w:pPr>
        <w:adjustRightInd w:val="0"/>
        <w:snapToGrid w:val="0"/>
        <w:spacing w:line="360" w:lineRule="auto"/>
        <w:jc w:val="left"/>
        <w:rPr>
          <w:rFonts w:ascii="宋体" w:hAnsi="宋体" w:cs="宋体"/>
          <w:b/>
          <w:bCs/>
          <w:sz w:val="24"/>
        </w:rPr>
      </w:pPr>
      <w:r>
        <w:rPr>
          <w:rFonts w:hint="eastAsia" w:ascii="宋体" w:hAnsi="宋体" w:cs="宋体"/>
          <w:sz w:val="24"/>
        </w:rPr>
        <w:t>附件1－2</w:t>
      </w:r>
    </w:p>
    <w:tbl>
      <w:tblPr>
        <w:tblStyle w:val="6"/>
        <w:tblW w:w="10110" w:type="dxa"/>
        <w:jc w:val="center"/>
        <w:tblLayout w:type="autofit"/>
        <w:tblCellMar>
          <w:top w:w="0" w:type="dxa"/>
          <w:left w:w="108" w:type="dxa"/>
          <w:bottom w:w="0" w:type="dxa"/>
          <w:right w:w="108" w:type="dxa"/>
        </w:tblCellMar>
      </w:tblPr>
      <w:tblGrid>
        <w:gridCol w:w="396"/>
        <w:gridCol w:w="396"/>
        <w:gridCol w:w="396"/>
        <w:gridCol w:w="1053"/>
        <w:gridCol w:w="1296"/>
        <w:gridCol w:w="396"/>
        <w:gridCol w:w="579"/>
        <w:gridCol w:w="489"/>
        <w:gridCol w:w="489"/>
        <w:gridCol w:w="486"/>
        <w:gridCol w:w="576"/>
        <w:gridCol w:w="576"/>
        <w:gridCol w:w="576"/>
        <w:gridCol w:w="576"/>
        <w:gridCol w:w="576"/>
        <w:gridCol w:w="666"/>
        <w:gridCol w:w="396"/>
        <w:gridCol w:w="396"/>
        <w:gridCol w:w="1086"/>
      </w:tblGrid>
      <w:tr>
        <w:tblPrEx>
          <w:tblCellMar>
            <w:top w:w="0" w:type="dxa"/>
            <w:left w:w="108" w:type="dxa"/>
            <w:bottom w:w="0" w:type="dxa"/>
            <w:right w:w="108" w:type="dxa"/>
          </w:tblCellMar>
        </w:tblPrEx>
        <w:trPr>
          <w:trHeight w:val="269" w:hRule="atLeast"/>
          <w:jc w:val="center"/>
        </w:trPr>
        <w:tc>
          <w:tcPr>
            <w:tcW w:w="10110" w:type="dxa"/>
            <w:gridSpan w:val="19"/>
            <w:tcBorders>
              <w:top w:val="nil"/>
              <w:left w:val="nil"/>
              <w:bottom w:val="nil"/>
              <w:right w:val="nil"/>
            </w:tcBorders>
            <w:shd w:val="clear" w:color="auto" w:fill="auto"/>
            <w:vAlign w:val="center"/>
          </w:tcPr>
          <w:p>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综合素质课教学进程表</w:t>
            </w:r>
          </w:p>
        </w:tc>
      </w:tr>
      <w:tr>
        <w:tblPrEx>
          <w:tblCellMar>
            <w:top w:w="0" w:type="dxa"/>
            <w:left w:w="108" w:type="dxa"/>
            <w:bottom w:w="0" w:type="dxa"/>
            <w:right w:w="108" w:type="dxa"/>
          </w:tblCellMar>
        </w:tblPrEx>
        <w:trPr>
          <w:trHeight w:val="211" w:hRule="atLeast"/>
          <w:jc w:val="center"/>
        </w:trPr>
        <w:tc>
          <w:tcPr>
            <w:tcW w:w="3074"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专业名称：音乐表演（三年制）</w:t>
            </w:r>
          </w:p>
        </w:tc>
        <w:tc>
          <w:tcPr>
            <w:tcW w:w="347" w:type="dxa"/>
            <w:tcBorders>
              <w:top w:val="nil"/>
              <w:left w:val="nil"/>
              <w:bottom w:val="single" w:color="000000" w:sz="4" w:space="0"/>
              <w:right w:val="nil"/>
            </w:tcBorders>
            <w:shd w:val="clear" w:color="auto" w:fill="auto"/>
            <w:vAlign w:val="center"/>
          </w:tcPr>
          <w:p>
            <w:pPr>
              <w:widowControl/>
              <w:jc w:val="left"/>
              <w:rPr>
                <w:rFonts w:ascii="宋体" w:hAnsi="宋体" w:cs="宋体"/>
                <w:color w:val="000000"/>
                <w:kern w:val="0"/>
                <w:sz w:val="18"/>
                <w:szCs w:val="18"/>
              </w:rPr>
            </w:pPr>
          </w:p>
        </w:tc>
        <w:tc>
          <w:tcPr>
            <w:tcW w:w="507" w:type="dxa"/>
            <w:tcBorders>
              <w:top w:val="nil"/>
              <w:left w:val="nil"/>
              <w:bottom w:val="single" w:color="000000" w:sz="4" w:space="0"/>
              <w:right w:val="nil"/>
            </w:tcBorders>
            <w:shd w:val="clear" w:color="auto" w:fill="auto"/>
            <w:vAlign w:val="center"/>
          </w:tcPr>
          <w:p>
            <w:pPr>
              <w:widowControl/>
              <w:jc w:val="center"/>
              <w:rPr>
                <w:rFonts w:eastAsia="Times New Roman"/>
                <w:kern w:val="0"/>
                <w:sz w:val="20"/>
                <w:szCs w:val="20"/>
              </w:rPr>
            </w:pPr>
          </w:p>
        </w:tc>
        <w:tc>
          <w:tcPr>
            <w:tcW w:w="428" w:type="dxa"/>
            <w:tcBorders>
              <w:top w:val="nil"/>
              <w:left w:val="nil"/>
              <w:bottom w:val="single" w:color="000000" w:sz="4" w:space="0"/>
              <w:right w:val="nil"/>
            </w:tcBorders>
            <w:shd w:val="clear" w:color="auto" w:fill="auto"/>
            <w:vAlign w:val="center"/>
          </w:tcPr>
          <w:p>
            <w:pPr>
              <w:widowControl/>
              <w:jc w:val="center"/>
              <w:rPr>
                <w:rFonts w:eastAsia="Times New Roman"/>
                <w:kern w:val="0"/>
                <w:sz w:val="20"/>
                <w:szCs w:val="20"/>
              </w:rPr>
            </w:pPr>
          </w:p>
        </w:tc>
        <w:tc>
          <w:tcPr>
            <w:tcW w:w="428" w:type="dxa"/>
            <w:tcBorders>
              <w:top w:val="nil"/>
              <w:left w:val="nil"/>
              <w:bottom w:val="single" w:color="000000" w:sz="4" w:space="0"/>
              <w:right w:val="nil"/>
            </w:tcBorders>
            <w:shd w:val="clear" w:color="auto" w:fill="auto"/>
            <w:vAlign w:val="center"/>
          </w:tcPr>
          <w:p>
            <w:pPr>
              <w:widowControl/>
              <w:jc w:val="center"/>
              <w:rPr>
                <w:rFonts w:eastAsia="Times New Roman"/>
                <w:kern w:val="0"/>
                <w:sz w:val="20"/>
                <w:szCs w:val="20"/>
              </w:rPr>
            </w:pPr>
          </w:p>
        </w:tc>
        <w:tc>
          <w:tcPr>
            <w:tcW w:w="426" w:type="dxa"/>
            <w:tcBorders>
              <w:top w:val="nil"/>
              <w:left w:val="nil"/>
              <w:bottom w:val="single" w:color="000000" w:sz="4" w:space="0"/>
              <w:right w:val="nil"/>
            </w:tcBorders>
            <w:shd w:val="clear" w:color="auto" w:fill="auto"/>
            <w:vAlign w:val="center"/>
          </w:tcPr>
          <w:p>
            <w:pPr>
              <w:widowControl/>
              <w:jc w:val="center"/>
              <w:rPr>
                <w:rFonts w:eastAsia="Times New Roman"/>
                <w:kern w:val="0"/>
                <w:sz w:val="20"/>
                <w:szCs w:val="20"/>
              </w:rPr>
            </w:pPr>
          </w:p>
        </w:tc>
        <w:tc>
          <w:tcPr>
            <w:tcW w:w="505" w:type="dxa"/>
            <w:tcBorders>
              <w:top w:val="nil"/>
              <w:left w:val="nil"/>
              <w:bottom w:val="single" w:color="000000" w:sz="4" w:space="0"/>
              <w:right w:val="nil"/>
            </w:tcBorders>
            <w:shd w:val="clear" w:color="auto" w:fill="auto"/>
            <w:vAlign w:val="center"/>
          </w:tcPr>
          <w:p>
            <w:pPr>
              <w:widowControl/>
              <w:jc w:val="center"/>
              <w:rPr>
                <w:rFonts w:eastAsia="Times New Roman"/>
                <w:kern w:val="0"/>
                <w:sz w:val="20"/>
                <w:szCs w:val="20"/>
              </w:rPr>
            </w:pPr>
          </w:p>
        </w:tc>
        <w:tc>
          <w:tcPr>
            <w:tcW w:w="505"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05"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3375" w:type="dxa"/>
            <w:gridSpan w:val="6"/>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2022年10月</w:t>
            </w:r>
          </w:p>
        </w:tc>
      </w:tr>
      <w:tr>
        <w:tblPrEx>
          <w:tblCellMar>
            <w:top w:w="0" w:type="dxa"/>
            <w:left w:w="108" w:type="dxa"/>
            <w:bottom w:w="0" w:type="dxa"/>
            <w:right w:w="108" w:type="dxa"/>
          </w:tblCellMar>
        </w:tblPrEx>
        <w:trPr>
          <w:trHeight w:val="211" w:hRule="atLeast"/>
          <w:jc w:val="center"/>
        </w:trPr>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课程类别</w:t>
            </w:r>
          </w:p>
        </w:tc>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课程性质</w:t>
            </w:r>
          </w:p>
        </w:tc>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课程序号</w:t>
            </w:r>
          </w:p>
        </w:tc>
        <w:tc>
          <w:tcPr>
            <w:tcW w:w="105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课程名称</w:t>
            </w:r>
          </w:p>
        </w:tc>
        <w:tc>
          <w:tcPr>
            <w:tcW w:w="97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课程代码</w:t>
            </w:r>
          </w:p>
        </w:tc>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课程类型</w:t>
            </w:r>
          </w:p>
        </w:tc>
        <w:tc>
          <w:tcPr>
            <w:tcW w:w="1365" w:type="dxa"/>
            <w:gridSpan w:val="3"/>
            <w:tcBorders>
              <w:top w:val="single" w:color="000000" w:sz="4" w:space="0"/>
              <w:left w:val="single" w:color="000000" w:sz="4" w:space="0"/>
              <w:bottom w:val="single" w:color="000000"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学时分配</w:t>
            </w:r>
          </w:p>
        </w:tc>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学分</w:t>
            </w:r>
          </w:p>
        </w:tc>
        <w:tc>
          <w:tcPr>
            <w:tcW w:w="31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教学进度周学时分配</w:t>
            </w:r>
          </w:p>
        </w:tc>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考核方式</w:t>
            </w:r>
          </w:p>
        </w:tc>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核心课程</w:t>
            </w:r>
          </w:p>
        </w:tc>
        <w:tc>
          <w:tcPr>
            <w:tcW w:w="10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备注</w:t>
            </w:r>
          </w:p>
        </w:tc>
      </w:tr>
      <w:tr>
        <w:tblPrEx>
          <w:tblCellMar>
            <w:top w:w="0" w:type="dxa"/>
            <w:left w:w="108" w:type="dxa"/>
            <w:bottom w:w="0" w:type="dxa"/>
            <w:right w:w="108" w:type="dxa"/>
          </w:tblCellMar>
        </w:tblPrEx>
        <w:trPr>
          <w:trHeight w:val="211"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05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97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总学时</w:t>
            </w:r>
          </w:p>
        </w:tc>
        <w:tc>
          <w:tcPr>
            <w:tcW w:w="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讲授</w:t>
            </w:r>
          </w:p>
        </w:tc>
        <w:tc>
          <w:tcPr>
            <w:tcW w:w="428" w:type="dxa"/>
            <w:vMerge w:val="restart"/>
            <w:tcBorders>
              <w:top w:val="single" w:color="000000" w:sz="4" w:space="0"/>
              <w:left w:val="single" w:color="000000" w:sz="4" w:space="0"/>
              <w:bottom w:val="single" w:color="000000"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实践</w:t>
            </w:r>
          </w:p>
        </w:tc>
        <w:tc>
          <w:tcPr>
            <w:tcW w:w="42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第一学年</w:t>
            </w:r>
          </w:p>
        </w:tc>
        <w:tc>
          <w:tcPr>
            <w:tcW w:w="1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第二学年</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第三学年</w:t>
            </w: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08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1"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05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97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0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42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428" w:type="dxa"/>
            <w:vMerge w:val="continue"/>
            <w:tcBorders>
              <w:top w:val="single" w:color="000000" w:sz="4" w:space="0"/>
              <w:left w:val="single" w:color="000000" w:sz="4" w:space="0"/>
              <w:bottom w:val="single" w:color="000000" w:sz="4" w:space="0"/>
              <w:right w:val="nil"/>
            </w:tcBorders>
            <w:vAlign w:val="center"/>
          </w:tcPr>
          <w:p>
            <w:pPr>
              <w:widowControl/>
              <w:jc w:val="left"/>
              <w:rPr>
                <w:rFonts w:ascii="宋体" w:hAnsi="宋体" w:cs="宋体"/>
                <w:color w:val="000000"/>
                <w:kern w:val="0"/>
                <w:sz w:val="18"/>
                <w:szCs w:val="18"/>
              </w:rPr>
            </w:pPr>
          </w:p>
        </w:tc>
        <w:tc>
          <w:tcPr>
            <w:tcW w:w="42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08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1"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05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97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0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42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428" w:type="dxa"/>
            <w:vMerge w:val="continue"/>
            <w:tcBorders>
              <w:top w:val="single" w:color="000000" w:sz="4" w:space="0"/>
              <w:left w:val="single" w:color="000000" w:sz="4" w:space="0"/>
              <w:bottom w:val="single" w:color="000000" w:sz="4" w:space="0"/>
              <w:right w:val="nil"/>
            </w:tcBorders>
            <w:vAlign w:val="center"/>
          </w:tcPr>
          <w:p>
            <w:pPr>
              <w:widowControl/>
              <w:jc w:val="left"/>
              <w:rPr>
                <w:rFonts w:ascii="宋体" w:hAnsi="宋体" w:cs="宋体"/>
                <w:color w:val="000000"/>
                <w:kern w:val="0"/>
                <w:sz w:val="18"/>
                <w:szCs w:val="18"/>
              </w:rPr>
            </w:pPr>
          </w:p>
        </w:tc>
        <w:tc>
          <w:tcPr>
            <w:tcW w:w="42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08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427" w:hRule="atLeast"/>
          <w:jc w:val="center"/>
        </w:trPr>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综合素质</w:t>
            </w:r>
          </w:p>
        </w:tc>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必修课</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军事训练与国防教育</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XXGG001S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72</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国家安全教育</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XXGG034(A-E)</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1-5学期，每学期4学时（讲座）</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思想道德与法治(一)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XXGG002A</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思想道德与法治(二)</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XXGG002B</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习近平新</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时代中国特色社会主义思想概论</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XXGG003A</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毛泽东思想和中国特色社会主义理论体系概论</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XXGG003B</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566"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形势与政策(一)、马中化</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XXGG005A</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形势与政策(二)</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XXGG005B</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形势与政策(三)</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XXGG005C</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形势与政策(四)</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XXGG005D</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体育与健康(一)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XXGG004A</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非计体育学院专业学生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体育与健康(二)</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XXGG004B</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非计体育学院专业学生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体育与健康(三)</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XXGG004C</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非计体育学院专业学生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体育与健康(四)</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XXGG004D</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非计体育学院专业学生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大学生心理健康与教育（一）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XXGG006A</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大学生心理健康与教育（二）</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XXGG006B</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17</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大学生心理健康与教育（三）</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XXGG006C</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大学生心理健康与教育（四）</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XXGG006D</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中华优秀传统文化</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XXGG035S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劳动教育</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XXGG009S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全校开课，统一安排</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认识实习</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XXGG012S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毕业实习</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XXGG013S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C</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252</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252</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nil"/>
              <w:left w:val="nil"/>
              <w:bottom w:val="nil"/>
              <w:right w:val="nil"/>
            </w:tcBorders>
            <w:shd w:val="clear" w:color="auto" w:fill="auto"/>
            <w:noWrap/>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18/14</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毕业设计</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XXGG014S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30/4</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7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小计</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766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340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426</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51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选修课</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计算机应用基础（一）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XXGG007A</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非计算机学院专业学生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计算机应用基础（二）</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XXGG007B</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非计算机学院专业学生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大学英语（一）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XXGG008A</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非外语系学生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大学英语（二）</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XXGG008B</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非外语系学生</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大学生职业生涯规划</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XXGG010S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大学生创新创业教育</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XXGG031S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大学语文</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XXGG024S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A</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非文学院专业</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大学美术</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XXGG033S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非美术学院专业</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nil"/>
              <w:left w:val="single" w:color="000000" w:sz="4" w:space="0"/>
              <w:bottom w:val="nil"/>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就业指导</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XXGG011S</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1/18</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全校</w:t>
            </w: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nil"/>
              <w:left w:val="single" w:color="000000" w:sz="4" w:space="0"/>
              <w:bottom w:val="nil"/>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公共选修</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1053" w:type="dxa"/>
            <w:tcBorders>
              <w:top w:val="single" w:color="000000" w:sz="4" w:space="0"/>
              <w:left w:val="nil"/>
              <w:bottom w:val="single" w:color="000000"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具体课程每学期公布</w:t>
            </w:r>
          </w:p>
        </w:tc>
        <w:tc>
          <w:tcPr>
            <w:tcW w:w="979" w:type="dxa"/>
            <w:tcBorders>
              <w:top w:val="single" w:color="000000" w:sz="4" w:space="0"/>
              <w:left w:val="nil"/>
              <w:bottom w:val="single" w:color="000000" w:sz="4" w:space="0"/>
              <w:right w:val="nil"/>
            </w:tcBorders>
            <w:shd w:val="clear" w:color="auto" w:fill="auto"/>
            <w:vAlign w:val="center"/>
          </w:tcPr>
          <w:p>
            <w:pPr>
              <w:widowControl/>
              <w:jc w:val="center"/>
              <w:rPr>
                <w:rFonts w:ascii="宋体" w:hAnsi="宋体" w:cs="宋体"/>
                <w:color w:val="000000"/>
                <w:kern w:val="0"/>
                <w:sz w:val="18"/>
                <w:szCs w:val="18"/>
              </w:rPr>
            </w:pPr>
          </w:p>
        </w:tc>
        <w:tc>
          <w:tcPr>
            <w:tcW w:w="347"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32</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47" w:type="dxa"/>
            <w:tcBorders>
              <w:top w:val="nil"/>
              <w:left w:val="single" w:color="000000" w:sz="4" w:space="0"/>
              <w:bottom w:val="nil"/>
              <w:right w:val="single" w:color="000000" w:sz="4" w:space="0"/>
            </w:tcBorders>
            <w:shd w:val="clear" w:color="auto" w:fill="auto"/>
            <w:vAlign w:val="center"/>
          </w:tcPr>
          <w:p>
            <w:pPr>
              <w:widowControl/>
              <w:jc w:val="center"/>
              <w:rPr>
                <w:rFonts w:eastAsia="Times New Roman"/>
                <w:kern w:val="0"/>
                <w:sz w:val="20"/>
                <w:szCs w:val="20"/>
              </w:rPr>
            </w:pPr>
          </w:p>
        </w:tc>
        <w:tc>
          <w:tcPr>
            <w:tcW w:w="27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小计</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269</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191</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78</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16</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eastAsia="Times New Roman"/>
                <w:kern w:val="0"/>
                <w:sz w:val="20"/>
                <w:szCs w:val="20"/>
              </w:rPr>
            </w:pPr>
          </w:p>
        </w:tc>
      </w:tr>
      <w:tr>
        <w:tblPrEx>
          <w:tblCellMar>
            <w:top w:w="0" w:type="dxa"/>
            <w:left w:w="108" w:type="dxa"/>
            <w:bottom w:w="0" w:type="dxa"/>
            <w:right w:w="108" w:type="dxa"/>
          </w:tblCellMar>
        </w:tblPrEx>
        <w:trPr>
          <w:trHeight w:val="427" w:hRule="atLeast"/>
          <w:jc w:val="center"/>
        </w:trPr>
        <w:tc>
          <w:tcPr>
            <w:tcW w:w="3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30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合计</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1035</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531</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504</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67</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6</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3</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eastAsia="Times New Roman"/>
                <w:kern w:val="0"/>
                <w:sz w:val="20"/>
                <w:szCs w:val="20"/>
              </w:rPr>
            </w:pPr>
          </w:p>
        </w:tc>
      </w:tr>
      <w:tr>
        <w:tblPrEx>
          <w:tblCellMar>
            <w:top w:w="0" w:type="dxa"/>
            <w:left w:w="108" w:type="dxa"/>
            <w:bottom w:w="0" w:type="dxa"/>
            <w:right w:w="108" w:type="dxa"/>
          </w:tblCellMar>
        </w:tblPrEx>
        <w:trPr>
          <w:trHeight w:val="427" w:hRule="atLeast"/>
          <w:jc w:val="center"/>
        </w:trPr>
        <w:tc>
          <w:tcPr>
            <w:tcW w:w="347"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347"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347"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5182" w:type="dxa"/>
            <w:gridSpan w:val="9"/>
            <w:tcBorders>
              <w:top w:val="single" w:color="000000" w:sz="4" w:space="0"/>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课程类型：A纯理论课；B理论+实践；C纯实践。▲核心课</w:t>
            </w:r>
          </w:p>
        </w:tc>
        <w:tc>
          <w:tcPr>
            <w:tcW w:w="1515" w:type="dxa"/>
            <w:gridSpan w:val="3"/>
            <w:tcBorders>
              <w:top w:val="single" w:color="000000" w:sz="4" w:space="0"/>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★考试■考查</w:t>
            </w:r>
          </w:p>
        </w:tc>
        <w:tc>
          <w:tcPr>
            <w:tcW w:w="58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347"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347"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1086"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632" w:hRule="atLeast"/>
          <w:jc w:val="center"/>
        </w:trPr>
        <w:tc>
          <w:tcPr>
            <w:tcW w:w="10110" w:type="dxa"/>
            <w:gridSpan w:val="19"/>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说明：</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1、形势与政策课以讲座形式进行，第一、二、三、四学期各上3次，共12次。另有认识实习、毕业论文等，不列入总学时。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2、综合素质选修课要求学生最多选一门，由于每学期选修课课程不定，因此不一一列举。</w:t>
            </w:r>
          </w:p>
        </w:tc>
      </w:tr>
    </w:tbl>
    <w:p>
      <w:pPr>
        <w:adjustRightInd w:val="0"/>
        <w:snapToGrid w:val="0"/>
        <w:spacing w:line="360" w:lineRule="auto"/>
      </w:pPr>
    </w:p>
    <w:p>
      <w:pPr>
        <w:adjustRightInd w:val="0"/>
        <w:snapToGrid w:val="0"/>
        <w:spacing w:line="360" w:lineRule="auto"/>
      </w:pPr>
    </w:p>
    <w:p>
      <w:pPr>
        <w:widowControl/>
        <w:jc w:val="left"/>
      </w:pPr>
      <w:r>
        <w:br w:type="page"/>
      </w:r>
    </w:p>
    <w:p>
      <w:pPr>
        <w:adjustRightInd w:val="0"/>
        <w:snapToGrid w:val="0"/>
        <w:spacing w:line="360" w:lineRule="auto"/>
      </w:pPr>
    </w:p>
    <w:p>
      <w:pPr>
        <w:adjustRightInd w:val="0"/>
        <w:snapToGrid w:val="0"/>
        <w:spacing w:line="360" w:lineRule="auto"/>
        <w:jc w:val="left"/>
        <w:rPr>
          <w:rFonts w:ascii="宋体" w:hAnsi="宋体" w:cs="宋体"/>
          <w:b/>
          <w:bCs/>
          <w:sz w:val="24"/>
        </w:rPr>
      </w:pPr>
      <w:r>
        <w:rPr>
          <w:rFonts w:hint="eastAsia" w:ascii="宋体" w:hAnsi="宋体" w:cs="宋体"/>
          <w:b/>
          <w:bCs/>
          <w:sz w:val="24"/>
        </w:rPr>
        <w:t>附件1-3</w:t>
      </w:r>
    </w:p>
    <w:tbl>
      <w:tblPr>
        <w:tblStyle w:val="6"/>
        <w:tblW w:w="14110" w:type="dxa"/>
        <w:tblInd w:w="0" w:type="dxa"/>
        <w:tblLayout w:type="autofit"/>
        <w:tblCellMar>
          <w:top w:w="0" w:type="dxa"/>
          <w:left w:w="108" w:type="dxa"/>
          <w:bottom w:w="0" w:type="dxa"/>
          <w:right w:w="108" w:type="dxa"/>
        </w:tblCellMar>
      </w:tblPr>
      <w:tblGrid>
        <w:gridCol w:w="422"/>
        <w:gridCol w:w="420"/>
        <w:gridCol w:w="420"/>
        <w:gridCol w:w="2001"/>
        <w:gridCol w:w="1116"/>
        <w:gridCol w:w="396"/>
        <w:gridCol w:w="579"/>
        <w:gridCol w:w="489"/>
        <w:gridCol w:w="489"/>
        <w:gridCol w:w="398"/>
        <w:gridCol w:w="590"/>
        <w:gridCol w:w="576"/>
        <w:gridCol w:w="576"/>
        <w:gridCol w:w="576"/>
        <w:gridCol w:w="2063"/>
        <w:gridCol w:w="580"/>
        <w:gridCol w:w="460"/>
        <w:gridCol w:w="460"/>
        <w:gridCol w:w="1900"/>
      </w:tblGrid>
      <w:tr>
        <w:tblPrEx>
          <w:tblCellMar>
            <w:top w:w="0" w:type="dxa"/>
            <w:left w:w="108" w:type="dxa"/>
            <w:bottom w:w="0" w:type="dxa"/>
            <w:right w:w="108" w:type="dxa"/>
          </w:tblCellMar>
        </w:tblPrEx>
        <w:trPr>
          <w:trHeight w:val="340" w:hRule="atLeast"/>
        </w:trPr>
        <w:tc>
          <w:tcPr>
            <w:tcW w:w="14110" w:type="dxa"/>
            <w:gridSpan w:val="19"/>
            <w:tcBorders>
              <w:top w:val="nil"/>
              <w:left w:val="nil"/>
              <w:bottom w:val="nil"/>
              <w:right w:val="nil"/>
            </w:tcBorders>
            <w:shd w:val="clear" w:color="auto" w:fill="auto"/>
            <w:vAlign w:val="center"/>
          </w:tcPr>
          <w:p>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 xml:space="preserve">专业课教学进程表 </w:t>
            </w:r>
          </w:p>
        </w:tc>
      </w:tr>
      <w:tr>
        <w:tblPrEx>
          <w:tblCellMar>
            <w:top w:w="0" w:type="dxa"/>
            <w:left w:w="108" w:type="dxa"/>
            <w:bottom w:w="0" w:type="dxa"/>
            <w:right w:w="108" w:type="dxa"/>
          </w:tblCellMar>
        </w:tblPrEx>
        <w:trPr>
          <w:trHeight w:val="300" w:hRule="atLeast"/>
        </w:trPr>
        <w:tc>
          <w:tcPr>
            <w:tcW w:w="4289" w:type="dxa"/>
            <w:gridSpan w:val="5"/>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专业名称：音乐表演（三年制）</w:t>
            </w:r>
          </w:p>
        </w:tc>
        <w:tc>
          <w:tcPr>
            <w:tcW w:w="39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8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8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398"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90"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p>
        </w:tc>
        <w:tc>
          <w:tcPr>
            <w:tcW w:w="576"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728" w:type="dxa"/>
            <w:gridSpan w:val="6"/>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2022年10月</w:t>
            </w:r>
          </w:p>
        </w:tc>
      </w:tr>
      <w:tr>
        <w:tblPrEx>
          <w:tblCellMar>
            <w:top w:w="0" w:type="dxa"/>
            <w:left w:w="108" w:type="dxa"/>
            <w:bottom w:w="0" w:type="dxa"/>
            <w:right w:w="108" w:type="dxa"/>
          </w:tblCellMar>
        </w:tblPrEx>
        <w:trPr>
          <w:trHeight w:val="300" w:hRule="atLeast"/>
        </w:trPr>
        <w:tc>
          <w:tcPr>
            <w:tcW w:w="42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课程类别</w:t>
            </w:r>
          </w:p>
        </w:tc>
        <w:tc>
          <w:tcPr>
            <w:tcW w:w="4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课程性质</w:t>
            </w:r>
          </w:p>
        </w:tc>
        <w:tc>
          <w:tcPr>
            <w:tcW w:w="4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课程序号</w:t>
            </w:r>
          </w:p>
        </w:tc>
        <w:tc>
          <w:tcPr>
            <w:tcW w:w="20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课程名称</w:t>
            </w:r>
          </w:p>
        </w:tc>
        <w:tc>
          <w:tcPr>
            <w:tcW w:w="102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课程代码</w:t>
            </w:r>
          </w:p>
        </w:tc>
        <w:tc>
          <w:tcPr>
            <w:tcW w:w="3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课程类型</w:t>
            </w:r>
          </w:p>
        </w:tc>
        <w:tc>
          <w:tcPr>
            <w:tcW w:w="1557"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学时分配</w:t>
            </w:r>
          </w:p>
        </w:tc>
        <w:tc>
          <w:tcPr>
            <w:tcW w:w="3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学分</w:t>
            </w:r>
          </w:p>
        </w:tc>
        <w:tc>
          <w:tcPr>
            <w:tcW w:w="465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教学进度周学时分配</w:t>
            </w:r>
          </w:p>
        </w:tc>
        <w:tc>
          <w:tcPr>
            <w:tcW w:w="4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考核方式</w:t>
            </w:r>
          </w:p>
        </w:tc>
        <w:tc>
          <w:tcPr>
            <w:tcW w:w="4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核心课程</w:t>
            </w:r>
          </w:p>
        </w:tc>
        <w:tc>
          <w:tcPr>
            <w:tcW w:w="190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备注</w:t>
            </w:r>
          </w:p>
        </w:tc>
      </w:tr>
      <w:tr>
        <w:tblPrEx>
          <w:tblCellMar>
            <w:top w:w="0" w:type="dxa"/>
            <w:left w:w="108" w:type="dxa"/>
            <w:bottom w:w="0" w:type="dxa"/>
            <w:right w:w="108" w:type="dxa"/>
          </w:tblCellMar>
        </w:tblPrEx>
        <w:trPr>
          <w:trHeight w:val="30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20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0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3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57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总学时</w:t>
            </w:r>
          </w:p>
        </w:tc>
        <w:tc>
          <w:tcPr>
            <w:tcW w:w="48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讲授</w:t>
            </w:r>
          </w:p>
        </w:tc>
        <w:tc>
          <w:tcPr>
            <w:tcW w:w="489"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实践</w:t>
            </w:r>
          </w:p>
        </w:tc>
        <w:tc>
          <w:tcPr>
            <w:tcW w:w="3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6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第一学年</w:t>
            </w:r>
          </w:p>
        </w:tc>
        <w:tc>
          <w:tcPr>
            <w:tcW w:w="84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第二学年</w:t>
            </w:r>
          </w:p>
        </w:tc>
        <w:tc>
          <w:tcPr>
            <w:tcW w:w="264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第三学年</w:t>
            </w:r>
          </w:p>
        </w:tc>
        <w:tc>
          <w:tcPr>
            <w:tcW w:w="4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9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30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20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0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3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57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000000" w:sz="4" w:space="0"/>
              <w:right w:val="nil"/>
            </w:tcBorders>
            <w:vAlign w:val="center"/>
          </w:tcPr>
          <w:p>
            <w:pPr>
              <w:widowControl/>
              <w:jc w:val="left"/>
              <w:rPr>
                <w:rFonts w:ascii="宋体" w:hAnsi="宋体" w:cs="宋体"/>
                <w:color w:val="000000"/>
                <w:kern w:val="0"/>
                <w:sz w:val="18"/>
                <w:szCs w:val="18"/>
              </w:rPr>
            </w:pPr>
          </w:p>
        </w:tc>
        <w:tc>
          <w:tcPr>
            <w:tcW w:w="3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9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30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20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0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3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57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000000" w:sz="4" w:space="0"/>
              <w:right w:val="nil"/>
            </w:tcBorders>
            <w:vAlign w:val="center"/>
          </w:tcPr>
          <w:p>
            <w:pPr>
              <w:widowControl/>
              <w:jc w:val="left"/>
              <w:rPr>
                <w:rFonts w:ascii="宋体" w:hAnsi="宋体" w:cs="宋体"/>
                <w:color w:val="000000"/>
                <w:kern w:val="0"/>
                <w:sz w:val="18"/>
                <w:szCs w:val="18"/>
              </w:rPr>
            </w:pPr>
          </w:p>
        </w:tc>
        <w:tc>
          <w:tcPr>
            <w:tcW w:w="3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9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495" w:hRule="atLeast"/>
        </w:trPr>
        <w:tc>
          <w:tcPr>
            <w:tcW w:w="42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职业道德与教育政策法规</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XXGG043S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学院根据自身情况，自主安排</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数字化教育技术应用</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XXGG041S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书写技能（一）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XXGG044A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1/15</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书写技能（二）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XXGG045B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乐理（一）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YYBY001A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1/15</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FF0000"/>
                <w:kern w:val="0"/>
                <w:sz w:val="18"/>
                <w:szCs w:val="18"/>
              </w:rPr>
            </w:pPr>
            <w:r>
              <w:rPr>
                <w:rFonts w:hint="eastAsia" w:ascii="宋体" w:hAnsi="宋体" w:cs="宋体"/>
                <w:color w:val="FF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17</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乐理（二）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YYBY001B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初级和声（一）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YYBY002A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初级和声（二）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YYBY002B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中国音乐史与名作赏析</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YYBY003S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西方音乐史与名作赏析</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YYBY004S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63" w:type="dxa"/>
            <w:tcBorders>
              <w:top w:val="nil"/>
              <w:left w:val="nil"/>
              <w:bottom w:val="nil"/>
              <w:right w:val="nil"/>
            </w:tcBorders>
            <w:shd w:val="clear" w:color="auto" w:fill="auto"/>
            <w:noWrap/>
            <w:vAlign w:val="center"/>
          </w:tcPr>
          <w:p>
            <w:pPr>
              <w:widowControl/>
              <w:jc w:val="left"/>
              <w:rPr>
                <w:rFonts w:ascii="等线" w:hAnsi="等线" w:eastAsia="等线" w:cs="宋体"/>
                <w:color w:val="000000"/>
                <w:kern w:val="0"/>
                <w:sz w:val="22"/>
                <w:szCs w:val="22"/>
              </w:rPr>
            </w:pPr>
          </w:p>
        </w:tc>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艺术概论</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YYBY005S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视唱练耳（一）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YYBY006A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1/15</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6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视唱练耳（二）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YYBY006B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25</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视唱练耳（三）</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YYBY006C</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26</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视唱练耳（四）</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YYBY006D</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27</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声乐基础（一）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YYBY007A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声乐基础（二）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YYBY007B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32</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舞蹈基础（一）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YYBY009A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33</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舞蹈基础（二）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YYBY009B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34</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钢琴基础（一）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YYBY010A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35</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钢琴基础（二）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YYBY010B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即兴伴奏与弹唱（一）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YYBY011A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63"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37</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即兴伴奏与弹唱（二）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YYBY011B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38</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即兴伴奏与弹唱（三）</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YYBY011C</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39</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电脑音乐制作（一）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YYBY012A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电脑音乐制作（二）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YYBY012B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录音棚实践</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YYBY013S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40</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合唱指挥（一）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YYBY014A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6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41</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合唱指挥（二）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YYBY014B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01" w:type="dxa"/>
            <w:tcBorders>
              <w:top w:val="nil"/>
              <w:left w:val="nil"/>
              <w:bottom w:val="single" w:color="auto" w:sz="4" w:space="0"/>
              <w:right w:val="single" w:color="auto" w:sz="4" w:space="0"/>
            </w:tcBorders>
            <w:shd w:val="clear" w:color="000000" w:fill="FFFF0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舞台表演艺术（一）</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YYBY020A</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01" w:type="dxa"/>
            <w:tcBorders>
              <w:top w:val="nil"/>
              <w:left w:val="nil"/>
              <w:bottom w:val="single" w:color="auto" w:sz="4" w:space="0"/>
              <w:right w:val="single" w:color="auto" w:sz="4" w:space="0"/>
            </w:tcBorders>
            <w:shd w:val="clear" w:color="000000" w:fill="FFFF0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舞台表演艺术（二）</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YYBY020B</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01" w:type="dxa"/>
            <w:tcBorders>
              <w:top w:val="nil"/>
              <w:left w:val="nil"/>
              <w:bottom w:val="single" w:color="auto" w:sz="4" w:space="0"/>
              <w:right w:val="single" w:color="auto" w:sz="4" w:space="0"/>
            </w:tcBorders>
            <w:shd w:val="clear" w:color="000000" w:fill="FFFF0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舞台表演艺术（三）</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YYBY020C</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43</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专升本英语</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XXGG046S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9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8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6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6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43</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毕业音乐会实践</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YYBY021S</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9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6"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4/18</w:t>
            </w:r>
          </w:p>
        </w:tc>
        <w:tc>
          <w:tcPr>
            <w:tcW w:w="58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6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6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3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3843"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小计</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1140</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394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746</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65</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11</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13</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12</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14</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15</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35"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选修课</w:t>
            </w:r>
          </w:p>
        </w:tc>
        <w:tc>
          <w:tcPr>
            <w:tcW w:w="42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44</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声乐表演</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YYBY016A-D</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180</w:t>
            </w:r>
          </w:p>
        </w:tc>
        <w:tc>
          <w:tcPr>
            <w:tcW w:w="48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w:t>
            </w:r>
          </w:p>
        </w:tc>
        <w:tc>
          <w:tcPr>
            <w:tcW w:w="48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130</w:t>
            </w:r>
          </w:p>
        </w:tc>
        <w:tc>
          <w:tcPr>
            <w:tcW w:w="3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5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舞蹈表演</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YYBY017A-D</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0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钢琴表演</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YYBY018A-D</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0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42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器乐表演</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YYBY019A-D</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B</w:t>
            </w:r>
          </w:p>
        </w:tc>
        <w:tc>
          <w:tcPr>
            <w:tcW w:w="5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0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8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45</w:t>
            </w:r>
          </w:p>
        </w:tc>
        <w:tc>
          <w:tcPr>
            <w:tcW w:w="2001"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社团专选</w:t>
            </w:r>
          </w:p>
        </w:tc>
        <w:tc>
          <w:tcPr>
            <w:tcW w:w="10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YYBY024A-E</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B</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174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54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120</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10</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2/15</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2/18</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8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0"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843"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小计</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354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104</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250</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18</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17</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390" w:hRule="atLeast"/>
        </w:trPr>
        <w:tc>
          <w:tcPr>
            <w:tcW w:w="4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426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合计</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xml:space="preserve">1494 </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xml:space="preserve">498 </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xml:space="preserve">996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xml:space="preserve">83 </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1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390" w:hRule="atLeast"/>
        </w:trPr>
        <w:tc>
          <w:tcPr>
            <w:tcW w:w="4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1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390" w:hRule="atLeast"/>
        </w:trPr>
        <w:tc>
          <w:tcPr>
            <w:tcW w:w="4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3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2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2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1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390" w:hRule="atLeast"/>
        </w:trPr>
        <w:tc>
          <w:tcPr>
            <w:tcW w:w="422" w:type="dxa"/>
            <w:tcBorders>
              <w:top w:val="nil"/>
              <w:left w:val="nil"/>
              <w:bottom w:val="nil"/>
              <w:right w:val="nil"/>
            </w:tcBorders>
            <w:shd w:val="clear" w:color="auto" w:fill="auto"/>
            <w:vAlign w:val="center"/>
          </w:tcPr>
          <w:p>
            <w:pPr>
              <w:widowControl/>
              <w:jc w:val="left"/>
              <w:rPr>
                <w:rFonts w:ascii="宋体" w:hAnsi="宋体" w:cs="宋体"/>
                <w:b/>
                <w:bCs/>
                <w:color w:val="000000"/>
                <w:kern w:val="0"/>
                <w:sz w:val="18"/>
                <w:szCs w:val="18"/>
              </w:rPr>
            </w:pPr>
          </w:p>
        </w:tc>
        <w:tc>
          <w:tcPr>
            <w:tcW w:w="420"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420"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200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1026"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396"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79"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489"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489"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398"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90" w:type="dxa"/>
            <w:tcBorders>
              <w:top w:val="nil"/>
              <w:left w:val="nil"/>
              <w:bottom w:val="nil"/>
              <w:right w:val="nil"/>
            </w:tcBorders>
            <w:shd w:val="clear" w:color="auto" w:fill="auto"/>
            <w:noWrap/>
            <w:vAlign w:val="center"/>
          </w:tcPr>
          <w:p>
            <w:pPr>
              <w:widowControl/>
              <w:jc w:val="center"/>
              <w:rPr>
                <w:rFonts w:eastAsia="Times New Roman"/>
                <w:kern w:val="0"/>
                <w:sz w:val="20"/>
                <w:szCs w:val="20"/>
              </w:rPr>
            </w:pPr>
          </w:p>
        </w:tc>
        <w:tc>
          <w:tcPr>
            <w:tcW w:w="576"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576"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265"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2063"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3400" w:type="dxa"/>
            <w:gridSpan w:val="4"/>
            <w:tcBorders>
              <w:top w:val="nil"/>
              <w:left w:val="nil"/>
              <w:bottom w:val="nil"/>
              <w:right w:val="nil"/>
            </w:tcBorders>
            <w:shd w:val="clear" w:color="auto" w:fill="auto"/>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制表人：简悦</w:t>
            </w:r>
          </w:p>
        </w:tc>
      </w:tr>
      <w:tr>
        <w:tblPrEx>
          <w:tblCellMar>
            <w:top w:w="0" w:type="dxa"/>
            <w:left w:w="108" w:type="dxa"/>
            <w:bottom w:w="0" w:type="dxa"/>
            <w:right w:w="108" w:type="dxa"/>
          </w:tblCellMar>
        </w:tblPrEx>
        <w:trPr>
          <w:trHeight w:val="480" w:hRule="atLeast"/>
        </w:trPr>
        <w:tc>
          <w:tcPr>
            <w:tcW w:w="422" w:type="dxa"/>
            <w:tcBorders>
              <w:top w:val="nil"/>
              <w:left w:val="nil"/>
              <w:bottom w:val="nil"/>
              <w:right w:val="nil"/>
            </w:tcBorders>
            <w:shd w:val="clear" w:color="auto" w:fill="auto"/>
            <w:noWrap/>
            <w:vAlign w:val="bottom"/>
          </w:tcPr>
          <w:p>
            <w:pPr>
              <w:widowControl/>
              <w:jc w:val="left"/>
              <w:rPr>
                <w:rFonts w:ascii="宋体" w:hAnsi="宋体" w:cs="宋体"/>
                <w:b/>
                <w:bCs/>
                <w:color w:val="000000"/>
                <w:kern w:val="0"/>
                <w:sz w:val="18"/>
                <w:szCs w:val="18"/>
              </w:rPr>
            </w:pPr>
          </w:p>
        </w:tc>
        <w:tc>
          <w:tcPr>
            <w:tcW w:w="420"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420"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6544"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课程类型：A纯理论课；B理论+实践；C纯实践。      ▲核心课</w:t>
            </w:r>
          </w:p>
        </w:tc>
        <w:tc>
          <w:tcPr>
            <w:tcW w:w="576" w:type="dxa"/>
            <w:tcBorders>
              <w:top w:val="nil"/>
              <w:left w:val="nil"/>
              <w:bottom w:val="nil"/>
              <w:right w:val="nil"/>
            </w:tcBorders>
            <w:shd w:val="clear" w:color="auto" w:fill="auto"/>
            <w:noWrap/>
            <w:vAlign w:val="bottom"/>
          </w:tcPr>
          <w:p>
            <w:pPr>
              <w:widowControl/>
              <w:jc w:val="center"/>
              <w:rPr>
                <w:rFonts w:ascii="宋体" w:hAnsi="宋体" w:cs="宋体"/>
                <w:color w:val="000000"/>
                <w:kern w:val="0"/>
                <w:sz w:val="18"/>
                <w:szCs w:val="18"/>
              </w:rPr>
            </w:pPr>
          </w:p>
        </w:tc>
        <w:tc>
          <w:tcPr>
            <w:tcW w:w="265"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2063"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500" w:type="dxa"/>
            <w:gridSpan w:val="3"/>
            <w:tcBorders>
              <w:top w:val="single" w:color="auto" w:sz="4" w:space="0"/>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  ■考查</w:t>
            </w:r>
          </w:p>
        </w:tc>
        <w:tc>
          <w:tcPr>
            <w:tcW w:w="1900" w:type="dxa"/>
            <w:tcBorders>
              <w:top w:val="nil"/>
              <w:left w:val="nil"/>
              <w:bottom w:val="nil"/>
              <w:right w:val="nil"/>
            </w:tcBorders>
            <w:shd w:val="clear" w:color="auto" w:fill="auto"/>
            <w:noWrap/>
            <w:vAlign w:val="bottom"/>
          </w:tcPr>
          <w:p>
            <w:pPr>
              <w:widowControl/>
              <w:jc w:val="center"/>
              <w:rPr>
                <w:rFonts w:ascii="宋体" w:hAnsi="宋体" w:cs="宋体"/>
                <w:kern w:val="0"/>
                <w:sz w:val="18"/>
                <w:szCs w:val="18"/>
              </w:rPr>
            </w:pPr>
          </w:p>
        </w:tc>
      </w:tr>
    </w:tbl>
    <w:p>
      <w:pPr>
        <w:adjustRightInd w:val="0"/>
        <w:snapToGrid w:val="0"/>
        <w:spacing w:line="360" w:lineRule="auto"/>
        <w:ind w:left="-708" w:leftChars="-337"/>
      </w:pPr>
    </w:p>
    <w:p>
      <w:pPr>
        <w:widowControl/>
        <w:jc w:val="left"/>
      </w:pPr>
      <w:r>
        <w:br w:type="page"/>
      </w:r>
    </w:p>
    <w:p>
      <w:pPr>
        <w:adjustRightInd w:val="0"/>
        <w:snapToGrid w:val="0"/>
        <w:spacing w:line="360" w:lineRule="auto"/>
      </w:pPr>
      <w:r>
        <w:rPr>
          <w:rFonts w:hint="eastAsia"/>
        </w:rPr>
        <w:t>附件1-</w:t>
      </w:r>
      <w:r>
        <w:t>4</w:t>
      </w:r>
    </w:p>
    <w:tbl>
      <w:tblPr>
        <w:tblStyle w:val="6"/>
        <w:tblW w:w="10688" w:type="dxa"/>
        <w:jc w:val="center"/>
        <w:tblLayout w:type="autofit"/>
        <w:tblCellMar>
          <w:top w:w="0" w:type="dxa"/>
          <w:left w:w="108" w:type="dxa"/>
          <w:bottom w:w="0" w:type="dxa"/>
          <w:right w:w="108" w:type="dxa"/>
        </w:tblCellMar>
      </w:tblPr>
      <w:tblGrid>
        <w:gridCol w:w="522"/>
        <w:gridCol w:w="396"/>
        <w:gridCol w:w="1200"/>
        <w:gridCol w:w="1509"/>
        <w:gridCol w:w="819"/>
        <w:gridCol w:w="492"/>
        <w:gridCol w:w="589"/>
        <w:gridCol w:w="551"/>
        <w:gridCol w:w="547"/>
        <w:gridCol w:w="547"/>
        <w:gridCol w:w="548"/>
        <w:gridCol w:w="548"/>
        <w:gridCol w:w="547"/>
        <w:gridCol w:w="548"/>
        <w:gridCol w:w="548"/>
        <w:gridCol w:w="777"/>
      </w:tblGrid>
      <w:tr>
        <w:tblPrEx>
          <w:tblCellMar>
            <w:top w:w="0" w:type="dxa"/>
            <w:left w:w="108" w:type="dxa"/>
            <w:bottom w:w="0" w:type="dxa"/>
            <w:right w:w="108" w:type="dxa"/>
          </w:tblCellMar>
        </w:tblPrEx>
        <w:trPr>
          <w:trHeight w:val="352" w:hRule="atLeast"/>
          <w:jc w:val="center"/>
        </w:trPr>
        <w:tc>
          <w:tcPr>
            <w:tcW w:w="10688" w:type="dxa"/>
            <w:gridSpan w:val="16"/>
            <w:tcBorders>
              <w:top w:val="nil"/>
              <w:left w:val="nil"/>
              <w:bottom w:val="nil"/>
              <w:right w:val="nil"/>
            </w:tcBorders>
            <w:shd w:val="clear" w:color="auto" w:fill="auto"/>
            <w:vAlign w:val="center"/>
          </w:tcPr>
          <w:p>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实践教学进程表</w:t>
            </w:r>
          </w:p>
        </w:tc>
      </w:tr>
      <w:tr>
        <w:tblPrEx>
          <w:tblCellMar>
            <w:top w:w="0" w:type="dxa"/>
            <w:left w:w="108" w:type="dxa"/>
            <w:bottom w:w="0" w:type="dxa"/>
            <w:right w:w="108" w:type="dxa"/>
          </w:tblCellMar>
        </w:tblPrEx>
        <w:trPr>
          <w:trHeight w:val="277" w:hRule="atLeast"/>
          <w:jc w:val="center"/>
        </w:trPr>
        <w:tc>
          <w:tcPr>
            <w:tcW w:w="4416"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专业名称：音乐表演（三年制）</w:t>
            </w:r>
          </w:p>
        </w:tc>
        <w:tc>
          <w:tcPr>
            <w:tcW w:w="494" w:type="dxa"/>
            <w:tcBorders>
              <w:top w:val="nil"/>
              <w:left w:val="nil"/>
              <w:bottom w:val="single" w:color="000000" w:sz="4" w:space="0"/>
              <w:right w:val="nil"/>
            </w:tcBorders>
            <w:shd w:val="clear" w:color="auto" w:fill="auto"/>
            <w:vAlign w:val="center"/>
          </w:tcPr>
          <w:p>
            <w:pPr>
              <w:widowControl/>
              <w:jc w:val="left"/>
              <w:rPr>
                <w:rFonts w:ascii="宋体" w:hAnsi="宋体" w:cs="宋体"/>
                <w:color w:val="000000"/>
                <w:kern w:val="0"/>
                <w:sz w:val="18"/>
                <w:szCs w:val="18"/>
              </w:rPr>
            </w:pPr>
          </w:p>
        </w:tc>
        <w:tc>
          <w:tcPr>
            <w:tcW w:w="593" w:type="dxa"/>
            <w:tcBorders>
              <w:top w:val="nil"/>
              <w:left w:val="nil"/>
              <w:bottom w:val="single" w:color="000000" w:sz="4" w:space="0"/>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single" w:color="000000" w:sz="4" w:space="0"/>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3532" w:type="dxa"/>
            <w:gridSpan w:val="6"/>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2022年10月</w:t>
            </w:r>
          </w:p>
        </w:tc>
      </w:tr>
      <w:tr>
        <w:tblPrEx>
          <w:tblCellMar>
            <w:top w:w="0" w:type="dxa"/>
            <w:left w:w="108" w:type="dxa"/>
            <w:bottom w:w="0" w:type="dxa"/>
            <w:right w:w="108" w:type="dxa"/>
          </w:tblCellMar>
        </w:tblPrEx>
        <w:trPr>
          <w:trHeight w:val="285" w:hRule="atLeast"/>
          <w:jc w:val="center"/>
        </w:trPr>
        <w:tc>
          <w:tcPr>
            <w:tcW w:w="522"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w:t>
            </w:r>
          </w:p>
        </w:tc>
        <w:tc>
          <w:tcPr>
            <w:tcW w:w="3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项目序号</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课程代码</w:t>
            </w:r>
          </w:p>
        </w:tc>
        <w:tc>
          <w:tcPr>
            <w:tcW w:w="150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课程类型</w:t>
            </w:r>
          </w:p>
        </w:tc>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学分</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总周数</w:t>
            </w:r>
          </w:p>
        </w:tc>
        <w:tc>
          <w:tcPr>
            <w:tcW w:w="33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教学进度周学时分配</w:t>
            </w:r>
          </w:p>
        </w:tc>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考核方式</w:t>
            </w:r>
          </w:p>
        </w:tc>
        <w:tc>
          <w:tcPr>
            <w:tcW w:w="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教学场所</w:t>
            </w:r>
          </w:p>
        </w:tc>
        <w:tc>
          <w:tcPr>
            <w:tcW w:w="7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备注</w:t>
            </w:r>
          </w:p>
        </w:tc>
      </w:tr>
      <w:tr>
        <w:tblPrEx>
          <w:tblCellMar>
            <w:top w:w="0" w:type="dxa"/>
            <w:left w:w="108" w:type="dxa"/>
            <w:bottom w:w="0" w:type="dxa"/>
            <w:right w:w="108" w:type="dxa"/>
          </w:tblCellMar>
        </w:tblPrEx>
        <w:trPr>
          <w:trHeight w:val="285" w:hRule="atLeast"/>
          <w:jc w:val="center"/>
        </w:trPr>
        <w:tc>
          <w:tcPr>
            <w:tcW w:w="522"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6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50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81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49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第一学年</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第二学年</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第三学年</w:t>
            </w:r>
          </w:p>
        </w:tc>
        <w:tc>
          <w:tcPr>
            <w:tcW w:w="5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77" w:hRule="atLeast"/>
          <w:jc w:val="center"/>
        </w:trPr>
        <w:tc>
          <w:tcPr>
            <w:tcW w:w="522"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6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50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81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49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5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5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855" w:hRule="atLeast"/>
          <w:jc w:val="center"/>
        </w:trPr>
        <w:tc>
          <w:tcPr>
            <w:tcW w:w="522"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专业技能实训</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XXGG012S</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认知实习</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C</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考查</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校外</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522" w:type="dxa"/>
            <w:vMerge w:val="continue"/>
            <w:tcBorders>
              <w:top w:val="single" w:color="000000" w:sz="4" w:space="0"/>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小计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r>
      <w:tr>
        <w:tblPrEx>
          <w:tblCellMar>
            <w:top w:w="0" w:type="dxa"/>
            <w:left w:w="108" w:type="dxa"/>
            <w:bottom w:w="0" w:type="dxa"/>
            <w:right w:w="108" w:type="dxa"/>
          </w:tblCellMar>
        </w:tblPrEx>
        <w:trPr>
          <w:trHeight w:val="855" w:hRule="atLeast"/>
          <w:jc w:val="center"/>
        </w:trPr>
        <w:tc>
          <w:tcPr>
            <w:tcW w:w="522"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其他实践活动</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XXGG014S</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毕业设计</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C</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考查</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校内</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522" w:type="dxa"/>
            <w:vMerge w:val="continue"/>
            <w:tcBorders>
              <w:top w:val="nil"/>
              <w:left w:val="single" w:color="000000" w:sz="4" w:space="0"/>
              <w:bottom w:val="nil"/>
              <w:right w:val="single" w:color="000000" w:sz="4" w:space="0"/>
            </w:tcBorders>
            <w:vAlign w:val="center"/>
          </w:tcPr>
          <w:p>
            <w:pPr>
              <w:widowControl/>
              <w:jc w:val="left"/>
              <w:rPr>
                <w:rFonts w:ascii="宋体" w:hAnsi="宋体" w:cs="宋体"/>
                <w:color w:val="000000"/>
                <w:kern w:val="0"/>
                <w:sz w:val="18"/>
                <w:szCs w:val="18"/>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小计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eastAsia="Times New Roman"/>
                <w:kern w:val="0"/>
                <w:sz w:val="20"/>
                <w:szCs w:val="20"/>
              </w:rPr>
            </w:pPr>
          </w:p>
        </w:tc>
      </w:tr>
      <w:tr>
        <w:tblPrEx>
          <w:tblCellMar>
            <w:top w:w="0" w:type="dxa"/>
            <w:left w:w="108" w:type="dxa"/>
            <w:bottom w:w="0" w:type="dxa"/>
            <w:right w:w="108" w:type="dxa"/>
          </w:tblCellMar>
        </w:tblPrEx>
        <w:trPr>
          <w:trHeight w:val="390" w:hRule="atLeast"/>
          <w:jc w:val="center"/>
        </w:trPr>
        <w:tc>
          <w:tcPr>
            <w:tcW w:w="522"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366"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1200"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1509"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819"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494"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93"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2430" w:type="dxa"/>
            <w:gridSpan w:val="4"/>
            <w:tcBorders>
              <w:top w:val="nil"/>
              <w:left w:val="nil"/>
              <w:bottom w:val="nil"/>
              <w:right w:val="nil"/>
            </w:tcBorders>
            <w:shd w:val="clear" w:color="auto" w:fill="auto"/>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制表人：陈家标</w:t>
            </w:r>
          </w:p>
        </w:tc>
      </w:tr>
      <w:tr>
        <w:tblPrEx>
          <w:tblCellMar>
            <w:top w:w="0" w:type="dxa"/>
            <w:left w:w="108" w:type="dxa"/>
            <w:bottom w:w="0" w:type="dxa"/>
            <w:right w:w="108" w:type="dxa"/>
          </w:tblCellMar>
        </w:tblPrEx>
        <w:trPr>
          <w:trHeight w:val="480" w:hRule="atLeast"/>
          <w:jc w:val="center"/>
        </w:trPr>
        <w:tc>
          <w:tcPr>
            <w:tcW w:w="522" w:type="dxa"/>
            <w:tcBorders>
              <w:top w:val="nil"/>
              <w:left w:val="nil"/>
              <w:bottom w:val="nil"/>
              <w:right w:val="nil"/>
            </w:tcBorders>
            <w:shd w:val="clear" w:color="auto" w:fill="auto"/>
            <w:noWrap/>
            <w:vAlign w:val="bottom"/>
          </w:tcPr>
          <w:p>
            <w:pPr>
              <w:widowControl/>
              <w:jc w:val="left"/>
              <w:rPr>
                <w:rFonts w:ascii="宋体" w:hAnsi="宋体" w:cs="宋体"/>
                <w:b/>
                <w:bCs/>
                <w:color w:val="000000"/>
                <w:kern w:val="0"/>
                <w:sz w:val="18"/>
                <w:szCs w:val="18"/>
              </w:rPr>
            </w:pPr>
          </w:p>
        </w:tc>
        <w:tc>
          <w:tcPr>
            <w:tcW w:w="366"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200"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6170"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课程类型：A纯理论课；B理论+实践；C纯实践。▲核心课</w:t>
            </w:r>
          </w:p>
        </w:tc>
        <w:tc>
          <w:tcPr>
            <w:tcW w:w="1653" w:type="dxa"/>
            <w:gridSpan w:val="3"/>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★考试</w:t>
            </w:r>
          </w:p>
        </w:tc>
        <w:tc>
          <w:tcPr>
            <w:tcW w:w="777" w:type="dxa"/>
            <w:tcBorders>
              <w:top w:val="nil"/>
              <w:left w:val="nil"/>
              <w:bottom w:val="nil"/>
              <w:right w:val="nil"/>
            </w:tcBorders>
            <w:shd w:val="clear" w:color="auto" w:fill="auto"/>
            <w:noWrap/>
            <w:vAlign w:val="bottom"/>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420" w:hRule="atLeast"/>
          <w:jc w:val="center"/>
        </w:trPr>
        <w:tc>
          <w:tcPr>
            <w:tcW w:w="10688" w:type="dxa"/>
            <w:gridSpan w:val="16"/>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注：本实践课按周计算，在统计学时的情况下，按30学时/周计算</w:t>
            </w:r>
          </w:p>
        </w:tc>
      </w:tr>
    </w:tbl>
    <w:p>
      <w:pPr>
        <w:adjustRightInd w:val="0"/>
        <w:snapToGrid w:val="0"/>
        <w:spacing w:line="360" w:lineRule="auto"/>
        <w:jc w:val="center"/>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680982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9"/>
      </w:rPr>
    </w:pPr>
    <w:r>
      <w:fldChar w:fldCharType="begin"/>
    </w:r>
    <w:r>
      <w:rPr>
        <w:rStyle w:val="9"/>
      </w:rPr>
      <w:instrText xml:space="preserve">PAGE  </w:instrText>
    </w:r>
    <w:r>
      <w:fldChar w:fldCharType="separate"/>
    </w:r>
    <w:r>
      <w:rPr>
        <w:rStyle w:val="9"/>
      </w:rPr>
      <w:t>1</w: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3D5804"/>
    <w:multiLevelType w:val="singleLevel"/>
    <w:tmpl w:val="8D3D5804"/>
    <w:lvl w:ilvl="0" w:tentative="0">
      <w:start w:val="1"/>
      <w:numFmt w:val="decimal"/>
      <w:lvlText w:val="%1."/>
      <w:lvlJc w:val="left"/>
      <w:pPr>
        <w:tabs>
          <w:tab w:val="left" w:pos="312"/>
        </w:tabs>
      </w:pPr>
    </w:lvl>
  </w:abstractNum>
  <w:abstractNum w:abstractNumId="1">
    <w:nsid w:val="BD742AAC"/>
    <w:multiLevelType w:val="singleLevel"/>
    <w:tmpl w:val="BD742AAC"/>
    <w:lvl w:ilvl="0" w:tentative="0">
      <w:start w:val="1"/>
      <w:numFmt w:val="decimal"/>
      <w:lvlText w:val="%1."/>
      <w:lvlJc w:val="left"/>
      <w:pPr>
        <w:tabs>
          <w:tab w:val="left" w:pos="312"/>
        </w:tabs>
      </w:pPr>
    </w:lvl>
  </w:abstractNum>
  <w:abstractNum w:abstractNumId="2">
    <w:nsid w:val="E34F5B34"/>
    <w:multiLevelType w:val="singleLevel"/>
    <w:tmpl w:val="E34F5B34"/>
    <w:lvl w:ilvl="0" w:tentative="0">
      <w:start w:val="1"/>
      <w:numFmt w:val="decimal"/>
      <w:lvlText w:val="%1."/>
      <w:lvlJc w:val="left"/>
      <w:pPr>
        <w:tabs>
          <w:tab w:val="left" w:pos="312"/>
        </w:tabs>
      </w:pPr>
    </w:lvl>
  </w:abstractNum>
  <w:abstractNum w:abstractNumId="3">
    <w:nsid w:val="591970B7"/>
    <w:multiLevelType w:val="singleLevel"/>
    <w:tmpl w:val="591970B7"/>
    <w:lvl w:ilvl="0" w:tentative="0">
      <w:start w:val="1"/>
      <w:numFmt w:val="decimal"/>
      <w:suff w:val="nothing"/>
      <w:lvlText w:val="%1."/>
      <w:lvlJc w:val="left"/>
    </w:lvl>
  </w:abstractNum>
  <w:abstractNum w:abstractNumId="4">
    <w:nsid w:val="7E706643"/>
    <w:multiLevelType w:val="multilevel"/>
    <w:tmpl w:val="7E706643"/>
    <w:lvl w:ilvl="0" w:tentative="0">
      <w:start w:val="1"/>
      <w:numFmt w:val="decimal"/>
      <w:lvlText w:val="%1"/>
      <w:lvlJc w:val="center"/>
      <w:pPr>
        <w:ind w:left="420" w:hanging="132"/>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26A0"/>
    <w:rsid w:val="0000374C"/>
    <w:rsid w:val="000202F2"/>
    <w:rsid w:val="000303BA"/>
    <w:rsid w:val="00046DA0"/>
    <w:rsid w:val="00056410"/>
    <w:rsid w:val="00073770"/>
    <w:rsid w:val="000845AE"/>
    <w:rsid w:val="00093319"/>
    <w:rsid w:val="000B17CD"/>
    <w:rsid w:val="000B32B3"/>
    <w:rsid w:val="000B5753"/>
    <w:rsid w:val="000D5AFF"/>
    <w:rsid w:val="000E7742"/>
    <w:rsid w:val="000F0BBD"/>
    <w:rsid w:val="000F3D4A"/>
    <w:rsid w:val="000F4257"/>
    <w:rsid w:val="00100683"/>
    <w:rsid w:val="00101ED2"/>
    <w:rsid w:val="00102DFE"/>
    <w:rsid w:val="00104D78"/>
    <w:rsid w:val="00114B7A"/>
    <w:rsid w:val="00137827"/>
    <w:rsid w:val="00146318"/>
    <w:rsid w:val="00171F31"/>
    <w:rsid w:val="00177CD5"/>
    <w:rsid w:val="00181BA5"/>
    <w:rsid w:val="0018207D"/>
    <w:rsid w:val="0018461C"/>
    <w:rsid w:val="001E4BEF"/>
    <w:rsid w:val="001E64EC"/>
    <w:rsid w:val="001E6503"/>
    <w:rsid w:val="001F6065"/>
    <w:rsid w:val="00207C41"/>
    <w:rsid w:val="00210CBC"/>
    <w:rsid w:val="002210EA"/>
    <w:rsid w:val="00223E20"/>
    <w:rsid w:val="0024379C"/>
    <w:rsid w:val="00251211"/>
    <w:rsid w:val="0028174F"/>
    <w:rsid w:val="00283032"/>
    <w:rsid w:val="00287503"/>
    <w:rsid w:val="002944A8"/>
    <w:rsid w:val="002B021C"/>
    <w:rsid w:val="002B153F"/>
    <w:rsid w:val="002E4230"/>
    <w:rsid w:val="002E7771"/>
    <w:rsid w:val="002F47D7"/>
    <w:rsid w:val="002F5160"/>
    <w:rsid w:val="003452DC"/>
    <w:rsid w:val="00353F32"/>
    <w:rsid w:val="003664B6"/>
    <w:rsid w:val="00383AC9"/>
    <w:rsid w:val="00384C1B"/>
    <w:rsid w:val="00387013"/>
    <w:rsid w:val="003870C7"/>
    <w:rsid w:val="00394187"/>
    <w:rsid w:val="00396300"/>
    <w:rsid w:val="003B0207"/>
    <w:rsid w:val="003E435A"/>
    <w:rsid w:val="0040176A"/>
    <w:rsid w:val="004021BF"/>
    <w:rsid w:val="004259A5"/>
    <w:rsid w:val="00480A35"/>
    <w:rsid w:val="00492A72"/>
    <w:rsid w:val="00494AE1"/>
    <w:rsid w:val="004956FE"/>
    <w:rsid w:val="00495F34"/>
    <w:rsid w:val="004A425E"/>
    <w:rsid w:val="004B1235"/>
    <w:rsid w:val="004B238E"/>
    <w:rsid w:val="004B3848"/>
    <w:rsid w:val="004E11E8"/>
    <w:rsid w:val="00507FD6"/>
    <w:rsid w:val="0051096A"/>
    <w:rsid w:val="00512169"/>
    <w:rsid w:val="00513794"/>
    <w:rsid w:val="00524BF5"/>
    <w:rsid w:val="00550557"/>
    <w:rsid w:val="00581165"/>
    <w:rsid w:val="00590625"/>
    <w:rsid w:val="0059295F"/>
    <w:rsid w:val="005A2CC8"/>
    <w:rsid w:val="005C0109"/>
    <w:rsid w:val="005D31CD"/>
    <w:rsid w:val="005E1795"/>
    <w:rsid w:val="005F27A1"/>
    <w:rsid w:val="0060152A"/>
    <w:rsid w:val="00605D3A"/>
    <w:rsid w:val="006070E8"/>
    <w:rsid w:val="00615FBC"/>
    <w:rsid w:val="00620C74"/>
    <w:rsid w:val="00621462"/>
    <w:rsid w:val="006269D3"/>
    <w:rsid w:val="00632A19"/>
    <w:rsid w:val="00633F37"/>
    <w:rsid w:val="006343F8"/>
    <w:rsid w:val="00643DFC"/>
    <w:rsid w:val="00651883"/>
    <w:rsid w:val="00681CD5"/>
    <w:rsid w:val="0069745A"/>
    <w:rsid w:val="006C36C8"/>
    <w:rsid w:val="006C7C43"/>
    <w:rsid w:val="006D3F2C"/>
    <w:rsid w:val="006F2A7C"/>
    <w:rsid w:val="00706865"/>
    <w:rsid w:val="0071504A"/>
    <w:rsid w:val="00736E86"/>
    <w:rsid w:val="00742B30"/>
    <w:rsid w:val="0074431E"/>
    <w:rsid w:val="00791707"/>
    <w:rsid w:val="007919BB"/>
    <w:rsid w:val="00796539"/>
    <w:rsid w:val="007D24D5"/>
    <w:rsid w:val="007E1AAC"/>
    <w:rsid w:val="007E3C3C"/>
    <w:rsid w:val="008119F5"/>
    <w:rsid w:val="008128C3"/>
    <w:rsid w:val="00842548"/>
    <w:rsid w:val="00844079"/>
    <w:rsid w:val="00857C0B"/>
    <w:rsid w:val="008774D1"/>
    <w:rsid w:val="00880198"/>
    <w:rsid w:val="008825AF"/>
    <w:rsid w:val="008857B4"/>
    <w:rsid w:val="00887766"/>
    <w:rsid w:val="008D06F5"/>
    <w:rsid w:val="008D2A6E"/>
    <w:rsid w:val="008F4A3E"/>
    <w:rsid w:val="00900E65"/>
    <w:rsid w:val="00927297"/>
    <w:rsid w:val="00940E2C"/>
    <w:rsid w:val="009427E6"/>
    <w:rsid w:val="00950233"/>
    <w:rsid w:val="00953F99"/>
    <w:rsid w:val="00971AA9"/>
    <w:rsid w:val="00984BBF"/>
    <w:rsid w:val="00995147"/>
    <w:rsid w:val="009B6DC1"/>
    <w:rsid w:val="009B729D"/>
    <w:rsid w:val="009E49CC"/>
    <w:rsid w:val="009F3D87"/>
    <w:rsid w:val="00A16BBB"/>
    <w:rsid w:val="00A23E41"/>
    <w:rsid w:val="00A27B26"/>
    <w:rsid w:val="00A34C98"/>
    <w:rsid w:val="00A74478"/>
    <w:rsid w:val="00A8018E"/>
    <w:rsid w:val="00A90C09"/>
    <w:rsid w:val="00A93354"/>
    <w:rsid w:val="00AB0D47"/>
    <w:rsid w:val="00AB0EB9"/>
    <w:rsid w:val="00AC0627"/>
    <w:rsid w:val="00AC103D"/>
    <w:rsid w:val="00AD4409"/>
    <w:rsid w:val="00AD5A90"/>
    <w:rsid w:val="00AE4193"/>
    <w:rsid w:val="00AF1AB2"/>
    <w:rsid w:val="00B06755"/>
    <w:rsid w:val="00B136BE"/>
    <w:rsid w:val="00B15D62"/>
    <w:rsid w:val="00B4419E"/>
    <w:rsid w:val="00B907C9"/>
    <w:rsid w:val="00BA4D96"/>
    <w:rsid w:val="00BA6ADB"/>
    <w:rsid w:val="00BB326F"/>
    <w:rsid w:val="00BB7C09"/>
    <w:rsid w:val="00BD456A"/>
    <w:rsid w:val="00BE1C03"/>
    <w:rsid w:val="00BE3D40"/>
    <w:rsid w:val="00BE76B8"/>
    <w:rsid w:val="00BF2F27"/>
    <w:rsid w:val="00C03C4B"/>
    <w:rsid w:val="00C049ED"/>
    <w:rsid w:val="00C04EF2"/>
    <w:rsid w:val="00C25259"/>
    <w:rsid w:val="00C37769"/>
    <w:rsid w:val="00C5009D"/>
    <w:rsid w:val="00C53EFF"/>
    <w:rsid w:val="00C641BE"/>
    <w:rsid w:val="00C71349"/>
    <w:rsid w:val="00C74AEA"/>
    <w:rsid w:val="00C859FD"/>
    <w:rsid w:val="00C907C5"/>
    <w:rsid w:val="00CA4CF2"/>
    <w:rsid w:val="00CA603F"/>
    <w:rsid w:val="00CC469C"/>
    <w:rsid w:val="00CD23E0"/>
    <w:rsid w:val="00CD492D"/>
    <w:rsid w:val="00CD6925"/>
    <w:rsid w:val="00D2470B"/>
    <w:rsid w:val="00D2763B"/>
    <w:rsid w:val="00D54A7A"/>
    <w:rsid w:val="00D675CC"/>
    <w:rsid w:val="00D859FA"/>
    <w:rsid w:val="00D87D7A"/>
    <w:rsid w:val="00D90EB1"/>
    <w:rsid w:val="00D915CD"/>
    <w:rsid w:val="00DA7847"/>
    <w:rsid w:val="00DB6B8C"/>
    <w:rsid w:val="00DB711A"/>
    <w:rsid w:val="00DE60B3"/>
    <w:rsid w:val="00DF6BA1"/>
    <w:rsid w:val="00E012E0"/>
    <w:rsid w:val="00E02D3C"/>
    <w:rsid w:val="00E046AB"/>
    <w:rsid w:val="00E240A1"/>
    <w:rsid w:val="00E615B8"/>
    <w:rsid w:val="00E66872"/>
    <w:rsid w:val="00E8499C"/>
    <w:rsid w:val="00E948EF"/>
    <w:rsid w:val="00EB09E4"/>
    <w:rsid w:val="00EB29C8"/>
    <w:rsid w:val="00EC6F44"/>
    <w:rsid w:val="00ED4705"/>
    <w:rsid w:val="00EE0B7D"/>
    <w:rsid w:val="00EE5A2E"/>
    <w:rsid w:val="00EF3655"/>
    <w:rsid w:val="00EF3EC3"/>
    <w:rsid w:val="00F02465"/>
    <w:rsid w:val="00F06854"/>
    <w:rsid w:val="00F17B66"/>
    <w:rsid w:val="00F349D5"/>
    <w:rsid w:val="00F420B6"/>
    <w:rsid w:val="00F67ED8"/>
    <w:rsid w:val="00F76B5F"/>
    <w:rsid w:val="00F8270A"/>
    <w:rsid w:val="00F8794E"/>
    <w:rsid w:val="00FA69AD"/>
    <w:rsid w:val="00FB48BC"/>
    <w:rsid w:val="00FB51F5"/>
    <w:rsid w:val="00FB7421"/>
    <w:rsid w:val="00FC2C68"/>
    <w:rsid w:val="00FD20E9"/>
    <w:rsid w:val="00FE54D8"/>
    <w:rsid w:val="00FF43BB"/>
    <w:rsid w:val="05DE6267"/>
    <w:rsid w:val="07E15E92"/>
    <w:rsid w:val="08577CAD"/>
    <w:rsid w:val="0AC7497B"/>
    <w:rsid w:val="0B862B7C"/>
    <w:rsid w:val="0D9864B4"/>
    <w:rsid w:val="0F035DC7"/>
    <w:rsid w:val="119A7909"/>
    <w:rsid w:val="1612612A"/>
    <w:rsid w:val="16330EC1"/>
    <w:rsid w:val="19582614"/>
    <w:rsid w:val="230C3D2F"/>
    <w:rsid w:val="237960C4"/>
    <w:rsid w:val="2B3C41BA"/>
    <w:rsid w:val="3A272EEA"/>
    <w:rsid w:val="3C3D0900"/>
    <w:rsid w:val="420A743F"/>
    <w:rsid w:val="49191930"/>
    <w:rsid w:val="4E975520"/>
    <w:rsid w:val="56F0115D"/>
    <w:rsid w:val="5A244A46"/>
    <w:rsid w:val="5AE81333"/>
    <w:rsid w:val="5D9F3CE9"/>
    <w:rsid w:val="62C53FE7"/>
    <w:rsid w:val="69192432"/>
    <w:rsid w:val="79A0041E"/>
    <w:rsid w:val="7AE600F7"/>
    <w:rsid w:val="7D7D04EA"/>
    <w:rsid w:val="7EB45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0"/>
    <w:rPr>
      <w:b/>
      <w:bCs/>
    </w:rPr>
  </w:style>
  <w:style w:type="character" w:styleId="9">
    <w:name w:val="page number"/>
    <w:basedOn w:val="7"/>
    <w:qFormat/>
    <w:uiPriority w:val="0"/>
  </w:style>
  <w:style w:type="character" w:styleId="10">
    <w:name w:val="FollowedHyperlink"/>
    <w:basedOn w:val="7"/>
    <w:semiHidden/>
    <w:unhideWhenUsed/>
    <w:qFormat/>
    <w:uiPriority w:val="99"/>
    <w:rPr>
      <w:color w:val="800080"/>
      <w:u w:val="single"/>
    </w:rPr>
  </w:style>
  <w:style w:type="character" w:styleId="11">
    <w:name w:val="Hyperlink"/>
    <w:basedOn w:val="7"/>
    <w:semiHidden/>
    <w:unhideWhenUsed/>
    <w:qFormat/>
    <w:uiPriority w:val="99"/>
    <w:rPr>
      <w:color w:val="0000FF"/>
      <w:u w:val="single"/>
    </w:rPr>
  </w:style>
  <w:style w:type="character" w:customStyle="1" w:styleId="12">
    <w:name w:val="页脚 字符"/>
    <w:link w:val="3"/>
    <w:qFormat/>
    <w:uiPriority w:val="99"/>
    <w:rPr>
      <w:sz w:val="18"/>
      <w:szCs w:val="18"/>
    </w:rPr>
  </w:style>
  <w:style w:type="character" w:customStyle="1" w:styleId="13">
    <w:name w:val="页脚 Char1"/>
    <w:basedOn w:val="7"/>
    <w:semiHidden/>
    <w:qFormat/>
    <w:uiPriority w:val="99"/>
    <w:rPr>
      <w:rFonts w:ascii="Times New Roman" w:hAnsi="Times New Roman" w:eastAsia="宋体" w:cs="Times New Roman"/>
      <w:sz w:val="18"/>
      <w:szCs w:val="18"/>
    </w:rPr>
  </w:style>
  <w:style w:type="character" w:customStyle="1" w:styleId="14">
    <w:name w:val="批注框文本 字符"/>
    <w:basedOn w:val="7"/>
    <w:link w:val="2"/>
    <w:semiHidden/>
    <w:qFormat/>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字符"/>
    <w:basedOn w:val="7"/>
    <w:link w:val="4"/>
    <w:qFormat/>
    <w:uiPriority w:val="99"/>
    <w:rPr>
      <w:rFonts w:ascii="Times New Roman" w:hAnsi="Times New Roman" w:eastAsia="宋体" w:cs="Times New Roman"/>
      <w:sz w:val="18"/>
      <w:szCs w:val="18"/>
    </w:rPr>
  </w:style>
  <w:style w:type="table" w:customStyle="1" w:styleId="121">
    <w:name w:val="网格型浅色1"/>
    <w:basedOn w:val="6"/>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122">
    <w:name w:val="msonormal"/>
    <w:basedOn w:val="1"/>
    <w:uiPriority w:val="0"/>
    <w:pPr>
      <w:widowControl/>
      <w:spacing w:before="100" w:beforeAutospacing="1" w:after="100" w:afterAutospacing="1"/>
      <w:jc w:val="left"/>
    </w:pPr>
    <w:rPr>
      <w:rFonts w:ascii="宋体" w:hAnsi="宋体" w:cs="宋体"/>
      <w:kern w:val="0"/>
      <w:sz w:val="24"/>
    </w:rPr>
  </w:style>
  <w:style w:type="paragraph" w:customStyle="1" w:styleId="123">
    <w:name w:val="font1"/>
    <w:basedOn w:val="1"/>
    <w:uiPriority w:val="0"/>
    <w:pPr>
      <w:widowControl/>
      <w:spacing w:before="100" w:beforeAutospacing="1" w:after="100" w:afterAutospacing="1"/>
      <w:jc w:val="left"/>
    </w:pPr>
    <w:rPr>
      <w:rFonts w:ascii="宋体" w:hAnsi="宋体" w:cs="宋体"/>
      <w:color w:val="000000"/>
      <w:kern w:val="0"/>
      <w:sz w:val="28"/>
      <w:szCs w:val="28"/>
    </w:rPr>
  </w:style>
  <w:style w:type="paragraph" w:customStyle="1" w:styleId="124">
    <w:name w:val="font2"/>
    <w:basedOn w:val="1"/>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25">
    <w:name w:val="font3"/>
    <w:basedOn w:val="1"/>
    <w:uiPriority w:val="0"/>
    <w:pPr>
      <w:widowControl/>
      <w:spacing w:before="100" w:beforeAutospacing="1" w:after="100" w:afterAutospacing="1"/>
      <w:jc w:val="left"/>
    </w:pPr>
    <w:rPr>
      <w:rFonts w:ascii="宋体" w:hAnsi="宋体" w:cs="宋体"/>
      <w:color w:val="000000"/>
      <w:kern w:val="0"/>
      <w:sz w:val="24"/>
    </w:rPr>
  </w:style>
  <w:style w:type="paragraph" w:customStyle="1" w:styleId="126">
    <w:name w:val="font4"/>
    <w:basedOn w:val="1"/>
    <w:uiPriority w:val="0"/>
    <w:pPr>
      <w:widowControl/>
      <w:spacing w:before="100" w:beforeAutospacing="1" w:after="100" w:afterAutospacing="1"/>
      <w:jc w:val="left"/>
    </w:pPr>
    <w:rPr>
      <w:rFonts w:ascii="宋体" w:hAnsi="宋体" w:cs="宋体"/>
      <w:b/>
      <w:bCs/>
      <w:color w:val="000000"/>
      <w:kern w:val="0"/>
      <w:sz w:val="28"/>
      <w:szCs w:val="28"/>
    </w:rPr>
  </w:style>
  <w:style w:type="paragraph" w:customStyle="1" w:styleId="127">
    <w:name w:val="et6"/>
    <w:basedOn w:val="1"/>
    <w:uiPriority w:val="0"/>
    <w:pPr>
      <w:widowControl/>
      <w:spacing w:before="100" w:beforeAutospacing="1" w:after="100" w:afterAutospacing="1"/>
      <w:jc w:val="center"/>
    </w:pPr>
    <w:rPr>
      <w:rFonts w:ascii="宋体" w:hAnsi="宋体" w:cs="宋体"/>
      <w:b/>
      <w:bCs/>
      <w:kern w:val="0"/>
      <w:sz w:val="28"/>
      <w:szCs w:val="28"/>
    </w:rPr>
  </w:style>
  <w:style w:type="paragraph" w:customStyle="1" w:styleId="128">
    <w:name w:val="et7"/>
    <w:basedOn w:val="1"/>
    <w:uiPriority w:val="0"/>
    <w:pPr>
      <w:widowControl/>
      <w:spacing w:before="100" w:beforeAutospacing="1" w:after="100" w:afterAutospacing="1"/>
      <w:jc w:val="center"/>
    </w:pPr>
    <w:rPr>
      <w:rFonts w:ascii="宋体" w:hAnsi="宋体" w:cs="宋体"/>
      <w:kern w:val="0"/>
      <w:sz w:val="28"/>
      <w:szCs w:val="28"/>
    </w:rPr>
  </w:style>
  <w:style w:type="paragraph" w:customStyle="1" w:styleId="129">
    <w:name w:val="et8"/>
    <w:basedOn w:val="1"/>
    <w:uiPriority w:val="0"/>
    <w:pPr>
      <w:widowControl/>
      <w:pBdr>
        <w:bottom w:val="single" w:color="000000" w:sz="4" w:space="0"/>
      </w:pBdr>
      <w:spacing w:before="100" w:beforeAutospacing="1" w:after="100" w:afterAutospacing="1"/>
      <w:jc w:val="left"/>
    </w:pPr>
    <w:rPr>
      <w:rFonts w:ascii="宋体" w:hAnsi="宋体" w:cs="宋体"/>
      <w:kern w:val="0"/>
      <w:sz w:val="18"/>
      <w:szCs w:val="18"/>
    </w:rPr>
  </w:style>
  <w:style w:type="paragraph" w:customStyle="1" w:styleId="130">
    <w:name w:val="et9"/>
    <w:basedOn w:val="1"/>
    <w:uiPriority w:val="0"/>
    <w:pPr>
      <w:widowControl/>
      <w:pBdr>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131">
    <w:name w:val="et10"/>
    <w:basedOn w:val="1"/>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32">
    <w:name w:val="et11"/>
    <w:basedOn w:val="1"/>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33">
    <w:name w:val="et12"/>
    <w:basedOn w:val="1"/>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134">
    <w:name w:val="et13"/>
    <w:basedOn w:val="1"/>
    <w:uiPriority w:val="0"/>
    <w:pPr>
      <w:widowControl/>
      <w:pBdr>
        <w:top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135">
    <w:name w:val="et14"/>
    <w:basedOn w:val="1"/>
    <w:uiPriority w:val="0"/>
    <w:pPr>
      <w:widowControl/>
      <w:pBdr>
        <w:left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36">
    <w:name w:val="et15"/>
    <w:basedOn w:val="1"/>
    <w:uiPriority w:val="0"/>
    <w:pPr>
      <w:widowControl/>
      <w:pBdr>
        <w:left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37">
    <w:name w:val="et16"/>
    <w:basedOn w:val="1"/>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38">
    <w:name w:val="et17"/>
    <w:basedOn w:val="1"/>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39">
    <w:name w:val="et18"/>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8"/>
      <w:szCs w:val="18"/>
    </w:rPr>
  </w:style>
  <w:style w:type="paragraph" w:customStyle="1" w:styleId="140">
    <w:name w:val="et19"/>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41">
    <w:name w:val="et20"/>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8"/>
      <w:szCs w:val="18"/>
    </w:rPr>
  </w:style>
  <w:style w:type="paragraph" w:customStyle="1" w:styleId="142">
    <w:name w:val="et21"/>
    <w:basedOn w:val="1"/>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43">
    <w:name w:val="et22"/>
    <w:basedOn w:val="1"/>
    <w:uiPriority w:val="0"/>
    <w:pPr>
      <w:widowControl/>
      <w:pBdr>
        <w:top w:val="single" w:color="000000" w:sz="4" w:space="0"/>
        <w:bottom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44">
    <w:name w:val="et23"/>
    <w:basedOn w:val="1"/>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45">
    <w:name w:val="et24"/>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46">
    <w:name w:val="et25"/>
    <w:basedOn w:val="1"/>
    <w:uiPriority w:val="0"/>
    <w:pPr>
      <w:widowControl/>
      <w:pBdr>
        <w:left w:val="single" w:color="000000"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147">
    <w:name w:val="et26"/>
    <w:basedOn w:val="1"/>
    <w:uiPriority w:val="0"/>
    <w:pPr>
      <w:widowControl/>
      <w:pBdr>
        <w:left w:val="single" w:color="000000" w:sz="4" w:space="0"/>
        <w:bottom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48">
    <w:name w:val="et27"/>
    <w:basedOn w:val="1"/>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49">
    <w:name w:val="et28"/>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50">
    <w:name w:val="et29"/>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51">
    <w:name w:val="et30"/>
    <w:basedOn w:val="1"/>
    <w:uiPriority w:val="0"/>
    <w:pPr>
      <w:widowControl/>
      <w:spacing w:before="100" w:beforeAutospacing="1" w:after="100" w:afterAutospacing="1"/>
      <w:jc w:val="center"/>
    </w:pPr>
    <w:rPr>
      <w:rFonts w:ascii="宋体" w:hAnsi="宋体" w:cs="宋体"/>
      <w:kern w:val="0"/>
      <w:sz w:val="18"/>
      <w:szCs w:val="18"/>
    </w:rPr>
  </w:style>
  <w:style w:type="paragraph" w:customStyle="1" w:styleId="152">
    <w:name w:val="et31"/>
    <w:basedOn w:val="1"/>
    <w:uiPriority w:val="0"/>
    <w:pPr>
      <w:widowControl/>
      <w:spacing w:before="100" w:beforeAutospacing="1" w:after="100" w:afterAutospacing="1"/>
      <w:jc w:val="center"/>
    </w:pPr>
    <w:rPr>
      <w:rFonts w:ascii="宋体" w:hAnsi="宋体" w:cs="宋体"/>
      <w:b/>
      <w:bCs/>
      <w:kern w:val="0"/>
      <w:sz w:val="18"/>
      <w:szCs w:val="18"/>
    </w:rPr>
  </w:style>
  <w:style w:type="paragraph" w:customStyle="1" w:styleId="153">
    <w:name w:val="et32"/>
    <w:basedOn w:val="1"/>
    <w:uiPriority w:val="0"/>
    <w:pPr>
      <w:widowControl/>
      <w:spacing w:before="100" w:beforeAutospacing="1" w:after="100" w:afterAutospacing="1"/>
      <w:jc w:val="center"/>
    </w:pPr>
    <w:rPr>
      <w:rFonts w:ascii="宋体" w:hAnsi="宋体" w:cs="宋体"/>
      <w:b/>
      <w:bCs/>
      <w:kern w:val="0"/>
      <w:sz w:val="18"/>
      <w:szCs w:val="18"/>
    </w:rPr>
  </w:style>
  <w:style w:type="paragraph" w:customStyle="1" w:styleId="154">
    <w:name w:val="et35"/>
    <w:basedOn w:val="1"/>
    <w:uiPriority w:val="0"/>
    <w:pPr>
      <w:widowControl/>
      <w:spacing w:before="100" w:beforeAutospacing="1" w:after="100" w:afterAutospacing="1"/>
      <w:jc w:val="center"/>
    </w:pPr>
    <w:rPr>
      <w:rFonts w:ascii="宋体" w:hAnsi="宋体" w:cs="宋体"/>
      <w:kern w:val="0"/>
      <w:sz w:val="18"/>
      <w:szCs w:val="18"/>
    </w:rPr>
  </w:style>
  <w:style w:type="paragraph" w:customStyle="1" w:styleId="155">
    <w:name w:val="et38"/>
    <w:basedOn w:val="1"/>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56">
    <w:name w:val="et39"/>
    <w:basedOn w:val="1"/>
    <w:uiPriority w:val="0"/>
    <w:pPr>
      <w:widowControl/>
      <w:pBdr>
        <w:top w:val="single" w:color="000000" w:sz="4" w:space="0"/>
        <w:left w:val="single" w:color="000000" w:sz="4" w:space="0"/>
      </w:pBdr>
      <w:spacing w:before="100" w:beforeAutospacing="1" w:after="100" w:afterAutospacing="1"/>
      <w:jc w:val="center"/>
    </w:pPr>
    <w:rPr>
      <w:rFonts w:ascii="宋体" w:hAnsi="宋体" w:cs="宋体"/>
      <w:kern w:val="0"/>
      <w:sz w:val="18"/>
      <w:szCs w:val="18"/>
    </w:rPr>
  </w:style>
  <w:style w:type="paragraph" w:customStyle="1" w:styleId="157">
    <w:name w:val="et40"/>
    <w:basedOn w:val="1"/>
    <w:uiPriority w:val="0"/>
    <w:pPr>
      <w:widowControl/>
      <w:pBdr>
        <w:left w:val="single" w:color="000000" w:sz="4" w:space="0"/>
      </w:pBdr>
      <w:spacing w:before="100" w:beforeAutospacing="1" w:after="100" w:afterAutospacing="1"/>
      <w:jc w:val="center"/>
    </w:pPr>
    <w:rPr>
      <w:rFonts w:ascii="宋体" w:hAnsi="宋体" w:cs="宋体"/>
      <w:kern w:val="0"/>
      <w:sz w:val="18"/>
      <w:szCs w:val="18"/>
    </w:rPr>
  </w:style>
  <w:style w:type="paragraph" w:customStyle="1" w:styleId="158">
    <w:name w:val="et42"/>
    <w:basedOn w:val="1"/>
    <w:uiPriority w:val="0"/>
    <w:pPr>
      <w:widowControl/>
      <w:pBdr>
        <w:left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159">
    <w:name w:val="et43"/>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60">
    <w:name w:val="et44"/>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8"/>
      <w:szCs w:val="18"/>
    </w:rPr>
  </w:style>
  <w:style w:type="paragraph" w:customStyle="1" w:styleId="161">
    <w:name w:val="et45"/>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24"/>
    </w:rPr>
  </w:style>
  <w:style w:type="paragraph" w:customStyle="1" w:styleId="162">
    <w:name w:val="et46"/>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18"/>
      <w:szCs w:val="18"/>
    </w:rPr>
  </w:style>
  <w:style w:type="paragraph" w:customStyle="1" w:styleId="163">
    <w:name w:val="et47"/>
    <w:basedOn w:val="1"/>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64">
    <w:name w:val="et48"/>
    <w:basedOn w:val="1"/>
    <w:uiPriority w:val="0"/>
    <w:pPr>
      <w:widowControl/>
      <w:pBdr>
        <w:left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65">
    <w:name w:val="et49"/>
    <w:basedOn w:val="1"/>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66">
    <w:name w:val="et51"/>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 w:val="18"/>
      <w:szCs w:val="18"/>
    </w:rPr>
  </w:style>
  <w:style w:type="paragraph" w:customStyle="1" w:styleId="167">
    <w:name w:val="et52"/>
    <w:basedOn w:val="1"/>
    <w:uiPriority w:val="0"/>
    <w:pPr>
      <w:widowControl/>
      <w:spacing w:before="100" w:beforeAutospacing="1" w:after="100" w:afterAutospacing="1"/>
      <w:jc w:val="left"/>
    </w:pPr>
    <w:rPr>
      <w:rFonts w:ascii="宋体" w:hAnsi="宋体" w:cs="宋体"/>
      <w:b/>
      <w:bCs/>
      <w:kern w:val="0"/>
      <w:sz w:val="18"/>
      <w:szCs w:val="18"/>
    </w:rPr>
  </w:style>
  <w:style w:type="paragraph" w:customStyle="1" w:styleId="168">
    <w:name w:val="et53"/>
    <w:basedOn w:val="1"/>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169">
    <w:name w:val="et54"/>
    <w:basedOn w:val="1"/>
    <w:uiPriority w:val="0"/>
    <w:pPr>
      <w:widowControl/>
      <w:pBdr>
        <w:left w:val="single" w:color="000000"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170">
    <w:name w:val="et55"/>
    <w:basedOn w:val="1"/>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171">
    <w:name w:val="et57"/>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FF0000"/>
      <w:kern w:val="0"/>
      <w:sz w:val="18"/>
      <w:szCs w:val="18"/>
    </w:rPr>
  </w:style>
  <w:style w:type="paragraph" w:customStyle="1" w:styleId="172">
    <w:name w:val="et59"/>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b/>
      <w:bCs/>
      <w:kern w:val="0"/>
      <w:sz w:val="18"/>
      <w:szCs w:val="18"/>
    </w:rPr>
  </w:style>
  <w:style w:type="paragraph" w:customStyle="1" w:styleId="173">
    <w:name w:val="et60"/>
    <w:basedOn w:val="1"/>
    <w:uiPriority w:val="0"/>
    <w:pPr>
      <w:widowControl/>
      <w:pBdr>
        <w:top w:val="single" w:color="000000" w:sz="4" w:space="0"/>
      </w:pBdr>
      <w:spacing w:before="100" w:beforeAutospacing="1" w:after="100" w:afterAutospacing="1"/>
      <w:jc w:val="left"/>
    </w:pPr>
    <w:rPr>
      <w:rFonts w:ascii="宋体" w:hAnsi="宋体" w:cs="宋体"/>
      <w:b/>
      <w:bCs/>
      <w:kern w:val="0"/>
      <w:sz w:val="18"/>
      <w:szCs w:val="18"/>
    </w:rPr>
  </w:style>
  <w:style w:type="paragraph" w:customStyle="1" w:styleId="174">
    <w:name w:val="et61"/>
    <w:basedOn w:val="1"/>
    <w:uiPriority w:val="0"/>
    <w:pPr>
      <w:widowControl/>
      <w:spacing w:before="100" w:beforeAutospacing="1" w:after="100" w:afterAutospacing="1"/>
      <w:jc w:val="left"/>
      <w:textAlignment w:val="bottom"/>
    </w:pPr>
    <w:rPr>
      <w:rFonts w:ascii="宋体" w:hAnsi="宋体" w:cs="宋体"/>
      <w:kern w:val="0"/>
      <w:sz w:val="24"/>
    </w:rPr>
  </w:style>
  <w:style w:type="paragraph" w:customStyle="1" w:styleId="175">
    <w:name w:val="et64"/>
    <w:basedOn w:val="1"/>
    <w:uiPriority w:val="0"/>
    <w:pPr>
      <w:widowControl/>
      <w:pBdr>
        <w:top w:val="single" w:color="000000" w:sz="4" w:space="0"/>
      </w:pBdr>
      <w:spacing w:before="100" w:beforeAutospacing="1" w:after="100" w:afterAutospacing="1"/>
      <w:jc w:val="center"/>
    </w:pPr>
    <w:rPr>
      <w:rFonts w:ascii="宋体" w:hAnsi="宋体" w:cs="宋体"/>
      <w:color w:val="000000"/>
      <w:kern w:val="0"/>
      <w:sz w:val="18"/>
      <w:szCs w:val="18"/>
    </w:rPr>
  </w:style>
  <w:style w:type="paragraph" w:customStyle="1" w:styleId="176">
    <w:name w:val="et65"/>
    <w:basedOn w:val="1"/>
    <w:uiPriority w:val="0"/>
    <w:pPr>
      <w:widowControl/>
      <w:spacing w:before="100" w:beforeAutospacing="1" w:after="100" w:afterAutospacing="1"/>
      <w:jc w:val="left"/>
      <w:textAlignment w:val="bottom"/>
    </w:pPr>
    <w:rPr>
      <w:rFonts w:ascii="宋体" w:hAnsi="宋体" w:cs="宋体"/>
      <w:kern w:val="0"/>
      <w:sz w:val="24"/>
    </w:rPr>
  </w:style>
  <w:style w:type="paragraph" w:customStyle="1" w:styleId="177">
    <w:name w:val="et50"/>
    <w:basedOn w:val="1"/>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78">
    <w:name w:val="et56"/>
    <w:basedOn w:val="1"/>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179">
    <w:name w:val="et58"/>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FF0000"/>
      <w:kern w:val="0"/>
      <w:sz w:val="18"/>
      <w:szCs w:val="18"/>
    </w:rPr>
  </w:style>
  <w:style w:type="paragraph" w:customStyle="1" w:styleId="180">
    <w:name w:val="et62"/>
    <w:basedOn w:val="1"/>
    <w:uiPriority w:val="0"/>
    <w:pPr>
      <w:widowControl/>
      <w:pBdr>
        <w:top w:val="single" w:color="000000" w:sz="4" w:space="0"/>
      </w:pBdr>
      <w:spacing w:before="100" w:beforeAutospacing="1" w:after="100" w:afterAutospacing="1"/>
      <w:jc w:val="left"/>
    </w:pPr>
    <w:rPr>
      <w:rFonts w:ascii="宋体" w:hAnsi="宋体" w:cs="宋体"/>
      <w:b/>
      <w:bCs/>
      <w:kern w:val="0"/>
      <w:sz w:val="18"/>
      <w:szCs w:val="18"/>
    </w:rPr>
  </w:style>
  <w:style w:type="paragraph" w:customStyle="1" w:styleId="181">
    <w:name w:val="et63"/>
    <w:basedOn w:val="1"/>
    <w:uiPriority w:val="0"/>
    <w:pPr>
      <w:widowControl/>
      <w:spacing w:before="100" w:beforeAutospacing="1" w:after="100" w:afterAutospacing="1"/>
      <w:jc w:val="left"/>
      <w:textAlignment w:val="bottom"/>
    </w:pPr>
    <w:rPr>
      <w:rFonts w:ascii="宋体" w:hAnsi="宋体" w:cs="宋体"/>
      <w:kern w:val="0"/>
      <w:sz w:val="24"/>
    </w:rPr>
  </w:style>
  <w:style w:type="paragraph" w:customStyle="1" w:styleId="182">
    <w:name w:val="et66"/>
    <w:basedOn w:val="1"/>
    <w:uiPriority w:val="0"/>
    <w:pPr>
      <w:widowControl/>
      <w:pBdr>
        <w:top w:val="single" w:color="000000" w:sz="4" w:space="0"/>
      </w:pBdr>
      <w:spacing w:before="100" w:beforeAutospacing="1" w:after="100" w:afterAutospacing="1"/>
      <w:jc w:val="center"/>
    </w:pPr>
    <w:rPr>
      <w:rFonts w:ascii="宋体" w:hAnsi="宋体" w:cs="宋体"/>
      <w:color w:val="000000"/>
      <w:kern w:val="0"/>
      <w:sz w:val="18"/>
      <w:szCs w:val="18"/>
    </w:rPr>
  </w:style>
  <w:style w:type="paragraph" w:customStyle="1" w:styleId="183">
    <w:name w:val="et67"/>
    <w:basedOn w:val="1"/>
    <w:uiPriority w:val="0"/>
    <w:pPr>
      <w:widowControl/>
      <w:spacing w:before="100" w:beforeAutospacing="1" w:after="100" w:afterAutospacing="1"/>
      <w:jc w:val="left"/>
      <w:textAlignment w:val="bottom"/>
    </w:pPr>
    <w:rPr>
      <w:rFonts w:ascii="宋体" w:hAnsi="宋体" w:cs="宋体"/>
      <w:kern w:val="0"/>
      <w:sz w:val="24"/>
    </w:rPr>
  </w:style>
  <w:style w:type="paragraph" w:customStyle="1" w:styleId="184">
    <w:name w:val="et34"/>
    <w:basedOn w:val="1"/>
    <w:uiPriority w:val="0"/>
    <w:pPr>
      <w:widowControl/>
      <w:spacing w:before="100" w:beforeAutospacing="1" w:after="100" w:afterAutospacing="1"/>
      <w:jc w:val="center"/>
    </w:pPr>
    <w:rPr>
      <w:rFonts w:ascii="宋体" w:hAnsi="宋体" w:cs="宋体"/>
      <w:kern w:val="0"/>
      <w:sz w:val="18"/>
      <w:szCs w:val="18"/>
    </w:rPr>
  </w:style>
  <w:style w:type="paragraph" w:customStyle="1" w:styleId="185">
    <w:name w:val="et37"/>
    <w:basedOn w:val="1"/>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86">
    <w:name w:val="et41"/>
    <w:basedOn w:val="1"/>
    <w:uiPriority w:val="0"/>
    <w:pPr>
      <w:widowControl/>
      <w:pBdr>
        <w:left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shenduxitong</Company>
  <Pages>25</Pages>
  <Words>11275</Words>
  <Characters>12741</Characters>
  <Lines>116</Lines>
  <Paragraphs>32</Paragraphs>
  <TotalTime>0</TotalTime>
  <ScaleCrop>false</ScaleCrop>
  <LinksUpToDate>false</LinksUpToDate>
  <CharactersWithSpaces>13113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2022-11-28T03:27:00Z</dcterms:created>
  <dc:creator>Windows 用户</dc:creator>
  <cp:lastModifiedBy>Van</cp:lastModifiedBy>
  <dcterms:modified xsi:type="dcterms:W3CDTF">2022-12-14T02:02:23Z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E6D8E3F63A3B455B87F142183D580056</vt:lpwstr>
  </property>
</Properties>
</file>