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C35ADE">
      <w:pPr>
        <w:jc w:val="center"/>
        <w:rPr>
          <w:rFonts w:eastAsia="黑体"/>
          <w:b/>
          <w:spacing w:val="34"/>
          <w:sz w:val="84"/>
        </w:rPr>
      </w:pPr>
    </w:p>
    <w:p w14:paraId="7B8A8650">
      <w:pPr>
        <w:pStyle w:val="2"/>
        <w:keepLines w:val="0"/>
        <w:rPr>
          <w:rFonts w:ascii="黑体" w:hAnsi="黑体" w:eastAsia="黑体"/>
          <w:sz w:val="52"/>
          <w:szCs w:val="60"/>
        </w:rPr>
      </w:pPr>
      <w:r>
        <w:rPr>
          <w:rFonts w:hint="eastAsia" w:ascii="黑体" w:hAnsi="黑体" w:eastAsia="黑体"/>
          <w:sz w:val="52"/>
          <w:szCs w:val="60"/>
        </w:rPr>
        <w:t>广东茂名幼儿师范专科学校</w:t>
      </w:r>
    </w:p>
    <w:p w14:paraId="7A1D40BA">
      <w:pPr>
        <w:pStyle w:val="2"/>
        <w:keepLines w:val="0"/>
        <w:snapToGrid w:val="0"/>
        <w:spacing w:before="0" w:after="0" w:line="240" w:lineRule="auto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光伏材料制备技术专业人才培养方案</w:t>
      </w:r>
    </w:p>
    <w:p w14:paraId="629821FF">
      <w:pPr>
        <w:pStyle w:val="2"/>
        <w:keepLines w:val="0"/>
        <w:snapToGrid w:val="0"/>
        <w:spacing w:before="0" w:after="0" w:line="240" w:lineRule="auto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（三年制）</w:t>
      </w:r>
    </w:p>
    <w:p w14:paraId="05D8683E">
      <w:pPr>
        <w:tabs>
          <w:tab w:val="left" w:pos="7080"/>
        </w:tabs>
        <w:spacing w:line="900" w:lineRule="exact"/>
        <w:ind w:firstLine="1574" w:firstLineChars="492"/>
        <w:rPr>
          <w:rFonts w:ascii="宋体" w:hAnsi="宋体"/>
          <w:sz w:val="32"/>
        </w:rPr>
      </w:pPr>
    </w:p>
    <w:p w14:paraId="78EEAE20">
      <w:pPr>
        <w:tabs>
          <w:tab w:val="left" w:pos="7080"/>
        </w:tabs>
        <w:spacing w:line="900" w:lineRule="exact"/>
        <w:ind w:firstLine="1574" w:firstLineChars="492"/>
        <w:rPr>
          <w:rFonts w:ascii="宋体" w:hAnsi="宋体"/>
          <w:sz w:val="32"/>
        </w:rPr>
      </w:pPr>
    </w:p>
    <w:p w14:paraId="4F949953">
      <w:pPr>
        <w:tabs>
          <w:tab w:val="left" w:pos="7080"/>
        </w:tabs>
        <w:spacing w:line="900" w:lineRule="exact"/>
        <w:ind w:firstLine="1574" w:firstLineChars="492"/>
        <w:rPr>
          <w:rFonts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 xml:space="preserve">学 </w:t>
      </w:r>
      <w:r>
        <w:rPr>
          <w:rFonts w:ascii="宋体" w:hAnsi="宋体"/>
          <w:sz w:val="32"/>
        </w:rPr>
        <w:t xml:space="preserve">       </w:t>
      </w:r>
      <w:r>
        <w:rPr>
          <w:rFonts w:hint="eastAsia" w:ascii="宋体" w:hAnsi="宋体"/>
          <w:sz w:val="32"/>
        </w:rPr>
        <w:t xml:space="preserve">院  </w:t>
      </w:r>
      <w:r>
        <w:rPr>
          <w:rFonts w:ascii="宋体" w:hAnsi="宋体"/>
          <w:sz w:val="32"/>
          <w:u w:val="single"/>
        </w:rPr>
        <w:t xml:space="preserve">  </w:t>
      </w:r>
      <w:r>
        <w:rPr>
          <w:rFonts w:hint="eastAsia" w:ascii="宋体" w:hAnsi="宋体"/>
          <w:sz w:val="32"/>
          <w:u w:val="single"/>
        </w:rPr>
        <w:t xml:space="preserve">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旅游生态学院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   </w:t>
      </w:r>
    </w:p>
    <w:p w14:paraId="069FCBC4">
      <w:pPr>
        <w:tabs>
          <w:tab w:val="left" w:pos="7080"/>
        </w:tabs>
        <w:spacing w:line="900" w:lineRule="exact"/>
        <w:ind w:firstLine="1574" w:firstLineChars="492"/>
        <w:rPr>
          <w:rFonts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专</w:t>
      </w:r>
      <w:r>
        <w:rPr>
          <w:rFonts w:ascii="宋体" w:hAnsi="宋体"/>
          <w:sz w:val="32"/>
        </w:rPr>
        <w:t xml:space="preserve">        业 </w:t>
      </w:r>
      <w:r>
        <w:rPr>
          <w:rFonts w:hint="eastAsia" w:ascii="宋体" w:hAnsi="宋体"/>
          <w:sz w:val="32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bookmarkStart w:id="0" w:name="_GoBack"/>
      <w:r>
        <w:rPr>
          <w:rFonts w:hint="eastAsia" w:ascii="宋体" w:hAnsi="宋体"/>
          <w:sz w:val="32"/>
          <w:u w:val="single"/>
        </w:rPr>
        <w:t>光伏材料制备技术</w:t>
      </w:r>
      <w:bookmarkEnd w:id="0"/>
      <w:r>
        <w:rPr>
          <w:rFonts w:hint="eastAsia" w:ascii="宋体" w:hAnsi="宋体"/>
          <w:sz w:val="32"/>
          <w:u w:val="single"/>
        </w:rPr>
        <w:t xml:space="preserve">  </w:t>
      </w:r>
      <w:r>
        <w:rPr>
          <w:rFonts w:ascii="宋体" w:hAnsi="宋体"/>
          <w:sz w:val="32"/>
          <w:u w:val="single"/>
        </w:rPr>
        <w:t xml:space="preserve">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</w:p>
    <w:p w14:paraId="11E78059">
      <w:pPr>
        <w:tabs>
          <w:tab w:val="left" w:pos="7080"/>
        </w:tabs>
        <w:spacing w:line="900" w:lineRule="exact"/>
        <w:ind w:firstLine="1574" w:firstLineChars="492"/>
        <w:rPr>
          <w:rFonts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年</w:t>
      </w:r>
      <w:r>
        <w:rPr>
          <w:rFonts w:ascii="宋体" w:hAnsi="宋体"/>
          <w:sz w:val="32"/>
        </w:rPr>
        <w:t xml:space="preserve">        级 </w:t>
      </w:r>
      <w:r>
        <w:rPr>
          <w:rFonts w:hint="eastAsia" w:ascii="宋体" w:hAnsi="宋体"/>
          <w:sz w:val="32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 2026级  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 </w:t>
      </w:r>
      <w:r>
        <w:rPr>
          <w:rFonts w:ascii="宋体" w:hAnsi="宋体"/>
          <w:sz w:val="32"/>
          <w:u w:val="single"/>
        </w:rPr>
        <w:t xml:space="preserve"> </w:t>
      </w:r>
    </w:p>
    <w:p w14:paraId="671273AB">
      <w:pPr>
        <w:tabs>
          <w:tab w:val="left" w:pos="7080"/>
        </w:tabs>
        <w:spacing w:line="900" w:lineRule="exact"/>
        <w:ind w:firstLine="1574" w:firstLineChars="492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w:t xml:space="preserve">制   定   人 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  吴健松  </w:t>
      </w:r>
      <w:r>
        <w:rPr>
          <w:rFonts w:ascii="宋体" w:hAnsi="宋体"/>
          <w:sz w:val="32"/>
          <w:u w:val="single"/>
        </w:rPr>
        <w:t xml:space="preserve">   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</w:p>
    <w:p w14:paraId="1208C80E">
      <w:pPr>
        <w:tabs>
          <w:tab w:val="left" w:pos="7080"/>
        </w:tabs>
        <w:spacing w:line="900" w:lineRule="exact"/>
        <w:ind w:firstLine="1574" w:firstLineChars="492"/>
        <w:rPr>
          <w:rFonts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 xml:space="preserve">审   核   人 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          </w:t>
      </w:r>
      <w:r>
        <w:rPr>
          <w:rFonts w:ascii="宋体" w:hAnsi="宋体"/>
          <w:sz w:val="32"/>
          <w:u w:val="single"/>
        </w:rPr>
        <w:t xml:space="preserve">   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</w:p>
    <w:p w14:paraId="4A370054">
      <w:pPr>
        <w:tabs>
          <w:tab w:val="left" w:pos="7080"/>
        </w:tabs>
        <w:spacing w:line="900" w:lineRule="exact"/>
        <w:ind w:firstLine="1574" w:firstLineChars="492"/>
        <w:rPr>
          <w:rFonts w:ascii="宋体" w:hAnsi="宋体"/>
          <w:sz w:val="32"/>
          <w:u w:val="single"/>
        </w:rPr>
      </w:pPr>
    </w:p>
    <w:p w14:paraId="3DB8A855">
      <w:pPr>
        <w:tabs>
          <w:tab w:val="left" w:pos="7080"/>
        </w:tabs>
        <w:spacing w:line="900" w:lineRule="exact"/>
        <w:ind w:firstLine="1574" w:firstLineChars="492"/>
        <w:rPr>
          <w:rFonts w:ascii="宋体" w:hAnsi="宋体"/>
          <w:sz w:val="32"/>
          <w:u w:val="single"/>
        </w:rPr>
      </w:pPr>
    </w:p>
    <w:p w14:paraId="79F4D064">
      <w:pPr>
        <w:tabs>
          <w:tab w:val="left" w:pos="7080"/>
        </w:tabs>
        <w:spacing w:line="900" w:lineRule="exact"/>
        <w:ind w:firstLine="1574" w:firstLineChars="492"/>
        <w:rPr>
          <w:rFonts w:ascii="宋体" w:hAnsi="宋体"/>
          <w:sz w:val="32"/>
          <w:u w:val="single"/>
        </w:rPr>
      </w:pPr>
    </w:p>
    <w:p w14:paraId="62AF8B28">
      <w:pPr>
        <w:spacing w:line="360" w:lineRule="auto"/>
        <w:jc w:val="center"/>
        <w:sectPr>
          <w:footerReference r:id="rId3" w:type="default"/>
          <w:footerReference r:id="rId4" w:type="even"/>
          <w:pgSz w:w="11906" w:h="16838"/>
          <w:pgMar w:top="1247" w:right="1304" w:bottom="1247" w:left="1134" w:header="851" w:footer="992" w:gutter="0"/>
          <w:pgNumType w:start="1"/>
          <w:cols w:space="720" w:num="1"/>
          <w:docGrid w:type="lines" w:linePitch="312" w:charSpace="0"/>
        </w:sectPr>
      </w:pPr>
      <w:r>
        <w:t>202</w:t>
      </w:r>
      <w:r>
        <w:rPr>
          <w:rFonts w:hint="eastAsia"/>
        </w:rPr>
        <w:t>5</w:t>
      </w:r>
      <w:r>
        <w:t>年1</w:t>
      </w:r>
      <w:r>
        <w:rPr>
          <w:rFonts w:hint="eastAsia"/>
        </w:rPr>
        <w:t>1</w:t>
      </w:r>
      <w:r>
        <w:t>月</w:t>
      </w:r>
    </w:p>
    <w:p w14:paraId="3636A5F4">
      <w:pPr>
        <w:pStyle w:val="2"/>
        <w:keepLines w:val="0"/>
        <w:snapToGrid w:val="0"/>
        <w:spacing w:before="0" w:after="0" w:line="240" w:lineRule="auto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2026级光伏材料制备技术专业人才培养方案</w:t>
      </w:r>
    </w:p>
    <w:p w14:paraId="5A1E4EAF">
      <w:pPr>
        <w:pStyle w:val="2"/>
        <w:keepLines w:val="0"/>
        <w:snapToGrid w:val="0"/>
        <w:spacing w:before="0" w:after="0" w:line="240" w:lineRule="auto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（三年制）</w:t>
      </w:r>
    </w:p>
    <w:p w14:paraId="52AC42C3"/>
    <w:p w14:paraId="78BD0BB1">
      <w:pPr>
        <w:pStyle w:val="3"/>
        <w:keepLines w:val="0"/>
      </w:pPr>
      <w:r>
        <w:rPr>
          <w:rFonts w:hint="eastAsia"/>
        </w:rPr>
        <w:t>一、专业名称（代码）</w:t>
      </w:r>
    </w:p>
    <w:p w14:paraId="0C515921">
      <w:pPr>
        <w:spacing w:line="360" w:lineRule="auto"/>
        <w:ind w:firstLine="420" w:firstLineChars="200"/>
      </w:pPr>
      <w:r>
        <w:rPr>
          <w:rFonts w:hint="eastAsia"/>
        </w:rPr>
        <w:t>光伏材料制备技术 (专业代码: 430606)</w:t>
      </w:r>
    </w:p>
    <w:p w14:paraId="485E2D36">
      <w:pPr>
        <w:pStyle w:val="3"/>
        <w:keepLines w:val="0"/>
      </w:pPr>
      <w:r>
        <w:rPr>
          <w:rFonts w:hint="eastAsia"/>
        </w:rPr>
        <w:t>二、入学要求</w:t>
      </w:r>
    </w:p>
    <w:p w14:paraId="5F59021D">
      <w:pPr>
        <w:spacing w:line="360" w:lineRule="auto"/>
        <w:ind w:firstLine="420" w:firstLineChars="200"/>
        <w:rPr>
          <w:rStyle w:val="12"/>
          <w:rFonts w:ascii="宋体" w:hAnsi="宋体"/>
          <w:szCs w:val="21"/>
        </w:rPr>
      </w:pPr>
      <w:r>
        <w:rPr>
          <w:rFonts w:hint="eastAsia"/>
        </w:rPr>
        <w:t>普通高级中学毕业、中等职业学校毕业或具备同等学力</w:t>
      </w:r>
    </w:p>
    <w:p w14:paraId="4BB3F15C">
      <w:pPr>
        <w:pStyle w:val="3"/>
        <w:keepLines w:val="0"/>
      </w:pPr>
      <w:r>
        <w:rPr>
          <w:rFonts w:hint="eastAsia"/>
        </w:rPr>
        <w:t>三、基本修业年限</w:t>
      </w:r>
    </w:p>
    <w:p w14:paraId="3D04E72A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三年</w:t>
      </w:r>
    </w:p>
    <w:p w14:paraId="622B64E0">
      <w:pPr>
        <w:pStyle w:val="3"/>
        <w:keepLines w:val="0"/>
      </w:pPr>
      <w:r>
        <w:rPr>
          <w:rFonts w:hint="eastAsia"/>
        </w:rPr>
        <w:t>四、职业面向</w:t>
      </w:r>
    </w:p>
    <w:p w14:paraId="16539701">
      <w:pPr>
        <w:pStyle w:val="4"/>
        <w:keepLines w:val="0"/>
        <w:ind w:firstLine="420"/>
      </w:pPr>
      <w:r>
        <w:rPr>
          <w:rFonts w:hint="eastAsia"/>
        </w:rPr>
        <w:t>（一）职业面向</w:t>
      </w:r>
    </w:p>
    <w:tbl>
      <w:tblPr>
        <w:tblStyle w:val="9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480"/>
        <w:gridCol w:w="1090"/>
        <w:gridCol w:w="1610"/>
        <w:gridCol w:w="2110"/>
        <w:gridCol w:w="2087"/>
      </w:tblGrid>
      <w:tr w14:paraId="6BCDA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9785BB">
            <w:pPr>
              <w:snapToGrid w:val="0"/>
              <w:jc w:val="center"/>
              <w:rPr>
                <w:rFonts w:ascii="宋体" w:hAnsi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sz w:val="18"/>
                <w:szCs w:val="18"/>
              </w:rPr>
              <w:t>所属专业大类</w:t>
            </w:r>
          </w:p>
          <w:p w14:paraId="13FF1379">
            <w:pPr>
              <w:snapToGrid w:val="0"/>
              <w:jc w:val="center"/>
              <w:rPr>
                <w:rFonts w:ascii="宋体" w:hAnsi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sz w:val="18"/>
                <w:szCs w:val="18"/>
              </w:rPr>
              <w:t>及代码</w:t>
            </w: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A9535B">
            <w:pPr>
              <w:snapToGrid w:val="0"/>
              <w:jc w:val="center"/>
              <w:rPr>
                <w:rFonts w:ascii="宋体" w:hAnsi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sz w:val="18"/>
                <w:szCs w:val="18"/>
              </w:rPr>
              <w:t>所属专业类</w:t>
            </w:r>
          </w:p>
          <w:p w14:paraId="0B2D701E">
            <w:pPr>
              <w:snapToGrid w:val="0"/>
              <w:jc w:val="center"/>
              <w:rPr>
                <w:rFonts w:ascii="宋体" w:hAnsi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sz w:val="18"/>
                <w:szCs w:val="18"/>
              </w:rPr>
              <w:t>及代码</w:t>
            </w:r>
          </w:p>
        </w:tc>
        <w:tc>
          <w:tcPr>
            <w:tcW w:w="109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A70A6A">
            <w:pPr>
              <w:snapToGrid w:val="0"/>
              <w:jc w:val="center"/>
              <w:rPr>
                <w:rFonts w:ascii="宋体" w:hAnsi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sz w:val="18"/>
                <w:szCs w:val="18"/>
              </w:rPr>
              <w:t>对应行业</w:t>
            </w:r>
          </w:p>
        </w:tc>
        <w:tc>
          <w:tcPr>
            <w:tcW w:w="161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43BC0F">
            <w:pPr>
              <w:snapToGrid w:val="0"/>
              <w:jc w:val="center"/>
              <w:rPr>
                <w:rFonts w:ascii="宋体" w:hAnsi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sz w:val="18"/>
                <w:szCs w:val="18"/>
              </w:rPr>
              <w:t>主要职业类别</w:t>
            </w:r>
          </w:p>
        </w:tc>
        <w:tc>
          <w:tcPr>
            <w:tcW w:w="211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81E7A1">
            <w:pPr>
              <w:snapToGrid w:val="0"/>
              <w:jc w:val="center"/>
              <w:rPr>
                <w:rFonts w:ascii="宋体" w:hAnsi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sz w:val="18"/>
                <w:szCs w:val="18"/>
              </w:rPr>
              <w:t>主要岗位类别</w:t>
            </w:r>
          </w:p>
          <w:p w14:paraId="23A2C50D">
            <w:pPr>
              <w:snapToGrid w:val="0"/>
              <w:jc w:val="center"/>
              <w:rPr>
                <w:rFonts w:ascii="宋体" w:hAnsi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sz w:val="18"/>
                <w:szCs w:val="18"/>
              </w:rPr>
              <w:t>（或技术领域）举例</w:t>
            </w:r>
          </w:p>
        </w:tc>
        <w:tc>
          <w:tcPr>
            <w:tcW w:w="208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5C4F9A">
            <w:pPr>
              <w:snapToGrid w:val="0"/>
              <w:jc w:val="center"/>
              <w:rPr>
                <w:rFonts w:ascii="宋体" w:hAnsi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sz w:val="18"/>
                <w:szCs w:val="18"/>
              </w:rPr>
              <w:t>职业资格（职业技术等级）证书举例</w:t>
            </w:r>
          </w:p>
        </w:tc>
      </w:tr>
      <w:tr w14:paraId="4DC79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1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387FE6">
            <w:pPr>
              <w:spacing w:line="400" w:lineRule="exact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Cs w:val="21"/>
              </w:rPr>
              <w:t>能源动力与材料</w:t>
            </w: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301CBE">
            <w:pPr>
              <w:spacing w:line="400" w:lineRule="exact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Cs w:val="21"/>
              </w:rPr>
              <w:t>新能源发电工程</w:t>
            </w:r>
          </w:p>
        </w:tc>
        <w:tc>
          <w:tcPr>
            <w:tcW w:w="109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FA4640">
            <w:pPr>
              <w:spacing w:line="400" w:lineRule="exact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Cs w:val="21"/>
              </w:rPr>
              <w:t>能源、电力、工程</w:t>
            </w:r>
          </w:p>
        </w:tc>
        <w:tc>
          <w:tcPr>
            <w:tcW w:w="161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822A0A">
            <w:pPr>
              <w:spacing w:line="400" w:lineRule="exact"/>
              <w:jc w:val="left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Cs w:val="21"/>
              </w:rPr>
              <w:t>生产、检测与制造</w:t>
            </w:r>
          </w:p>
        </w:tc>
        <w:tc>
          <w:tcPr>
            <w:tcW w:w="211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7950B6">
            <w:pPr>
              <w:spacing w:line="400" w:lineRule="exact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Cs w:val="21"/>
              </w:rPr>
              <w:t>专技岗位</w:t>
            </w:r>
          </w:p>
        </w:tc>
        <w:tc>
          <w:tcPr>
            <w:tcW w:w="208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0B2886">
            <w:pPr>
              <w:spacing w:line="400" w:lineRule="exact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Cs w:val="21"/>
              </w:rPr>
              <w:t>光伏材料生产资格证、光伏材料检测资格证、光伏材料安装与检修资格证、</w:t>
            </w:r>
          </w:p>
        </w:tc>
      </w:tr>
      <w:tr w14:paraId="4569C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1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ED778A">
            <w:pPr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8D2D57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09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E652A7">
            <w:pPr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161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579A6B">
            <w:pPr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211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FDD25D">
            <w:pPr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208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E4BFA5">
            <w:pPr>
              <w:rPr>
                <w:rFonts w:ascii="宋体" w:hAnsi="宋体"/>
                <w:bCs/>
                <w:sz w:val="18"/>
                <w:szCs w:val="18"/>
              </w:rPr>
            </w:pPr>
          </w:p>
        </w:tc>
      </w:tr>
      <w:tr w14:paraId="53AA3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1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2BD42B">
            <w:pPr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AB2F6F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09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4B12B1">
            <w:pPr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161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EEDD36">
            <w:pPr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211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EDEE28">
            <w:pPr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208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2F550E">
            <w:pPr>
              <w:rPr>
                <w:rFonts w:ascii="宋体" w:hAnsi="宋体"/>
                <w:bCs/>
                <w:sz w:val="18"/>
                <w:szCs w:val="18"/>
              </w:rPr>
            </w:pPr>
          </w:p>
        </w:tc>
      </w:tr>
      <w:tr w14:paraId="67790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1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334751">
            <w:pPr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8FF466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09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5BBEC5">
            <w:pPr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161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EB4D4D">
            <w:pPr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211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9BF2C8">
            <w:pPr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208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942D19">
            <w:pPr>
              <w:rPr>
                <w:rFonts w:ascii="宋体" w:hAnsi="宋体"/>
                <w:bCs/>
                <w:sz w:val="18"/>
                <w:szCs w:val="18"/>
              </w:rPr>
            </w:pPr>
          </w:p>
        </w:tc>
      </w:tr>
      <w:tr w14:paraId="24DDD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1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9065DA">
            <w:pPr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998178"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09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010089">
            <w:pPr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161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6FD7E5">
            <w:pPr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211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26FCE3">
            <w:pPr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208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E0C42E">
            <w:pPr>
              <w:rPr>
                <w:rFonts w:ascii="宋体" w:hAnsi="宋体"/>
                <w:bCs/>
                <w:sz w:val="18"/>
                <w:szCs w:val="18"/>
              </w:rPr>
            </w:pPr>
          </w:p>
        </w:tc>
      </w:tr>
    </w:tbl>
    <w:p w14:paraId="2DFA5FBB">
      <w:pPr>
        <w:pStyle w:val="4"/>
        <w:keepLines w:val="0"/>
        <w:ind w:firstLine="420"/>
      </w:pPr>
      <w:r>
        <w:rPr>
          <w:rFonts w:hint="eastAsia"/>
        </w:rPr>
        <w:t>（二） 职业岗位群和核心能力分析</w:t>
      </w:r>
    </w:p>
    <w:tbl>
      <w:tblPr>
        <w:tblStyle w:val="125"/>
        <w:tblW w:w="99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4"/>
        <w:gridCol w:w="3524"/>
        <w:gridCol w:w="2124"/>
        <w:gridCol w:w="1305"/>
        <w:gridCol w:w="1703"/>
      </w:tblGrid>
      <w:tr w14:paraId="30CFC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64" w:type="dxa"/>
            <w:shd w:val="clear" w:color="auto" w:fill="auto"/>
            <w:vAlign w:val="center"/>
          </w:tcPr>
          <w:p w14:paraId="11E98270">
            <w:pPr>
              <w:snapToGrid w:val="0"/>
              <w:jc w:val="center"/>
              <w:rPr>
                <w:rFonts w:ascii="宋体" w:hAnsi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sz w:val="18"/>
                <w:szCs w:val="18"/>
              </w:rPr>
              <w:t>岗位</w:t>
            </w:r>
          </w:p>
        </w:tc>
        <w:tc>
          <w:tcPr>
            <w:tcW w:w="3524" w:type="dxa"/>
            <w:shd w:val="clear" w:color="auto" w:fill="auto"/>
            <w:vAlign w:val="center"/>
          </w:tcPr>
          <w:p w14:paraId="16715730">
            <w:pPr>
              <w:snapToGrid w:val="0"/>
              <w:jc w:val="center"/>
              <w:rPr>
                <w:rFonts w:ascii="宋体" w:hAnsi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sz w:val="18"/>
                <w:szCs w:val="18"/>
              </w:rPr>
              <w:t>岗位能力要求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54ECD773">
            <w:pPr>
              <w:snapToGrid w:val="0"/>
              <w:jc w:val="center"/>
              <w:rPr>
                <w:rFonts w:ascii="宋体" w:hAnsi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sz w:val="18"/>
                <w:szCs w:val="18"/>
              </w:rPr>
              <w:t>岗位职责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1E73A3E9">
            <w:pPr>
              <w:snapToGrid w:val="0"/>
              <w:jc w:val="center"/>
              <w:rPr>
                <w:rFonts w:ascii="宋体" w:hAnsi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sz w:val="18"/>
                <w:szCs w:val="18"/>
              </w:rPr>
              <w:t>导出课程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5303F26E">
            <w:pPr>
              <w:snapToGrid w:val="0"/>
              <w:jc w:val="center"/>
              <w:rPr>
                <w:rFonts w:ascii="宋体" w:hAnsi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sz w:val="18"/>
                <w:szCs w:val="18"/>
              </w:rPr>
              <w:t>综合开设课程</w:t>
            </w:r>
          </w:p>
        </w:tc>
      </w:tr>
      <w:tr w14:paraId="373FC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64" w:type="dxa"/>
            <w:shd w:val="clear" w:color="auto" w:fill="auto"/>
          </w:tcPr>
          <w:p w14:paraId="2C59A53C">
            <w:pPr>
              <w:widowControl/>
              <w:spacing w:line="360" w:lineRule="auto"/>
              <w:jc w:val="lef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光伏材料生产与组装</w:t>
            </w:r>
          </w:p>
        </w:tc>
        <w:tc>
          <w:tcPr>
            <w:tcW w:w="3524" w:type="dxa"/>
            <w:shd w:val="clear" w:color="auto" w:fill="auto"/>
          </w:tcPr>
          <w:p w14:paraId="21E17ED5">
            <w:pPr>
              <w:spacing w:line="360" w:lineRule="auto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扎实的专业知识基础；</w:t>
            </w:r>
          </w:p>
          <w:p w14:paraId="49BACC2E">
            <w:pPr>
              <w:spacing w:line="360" w:lineRule="auto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透彻理解材料生产工艺流程；</w:t>
            </w:r>
          </w:p>
          <w:p w14:paraId="1B1312DE">
            <w:pPr>
              <w:spacing w:line="360" w:lineRule="auto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PN结原理、能带理论等。</w:t>
            </w:r>
          </w:p>
        </w:tc>
        <w:tc>
          <w:tcPr>
            <w:tcW w:w="2124" w:type="dxa"/>
            <w:shd w:val="clear" w:color="auto" w:fill="auto"/>
          </w:tcPr>
          <w:p w14:paraId="512C4736">
            <w:pPr>
              <w:widowControl/>
              <w:jc w:val="lef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新型光伏材料、新工艺技术的开发与实验验证。</w:t>
            </w:r>
          </w:p>
        </w:tc>
        <w:tc>
          <w:tcPr>
            <w:tcW w:w="1305" w:type="dxa"/>
            <w:shd w:val="clear" w:color="auto" w:fill="auto"/>
          </w:tcPr>
          <w:p w14:paraId="6F0903DF">
            <w:pPr>
              <w:widowControl/>
              <w:spacing w:line="360" w:lineRule="auto"/>
              <w:jc w:val="lef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光伏组件制造工艺及应用</w:t>
            </w:r>
          </w:p>
        </w:tc>
        <w:tc>
          <w:tcPr>
            <w:tcW w:w="1703" w:type="dxa"/>
            <w:vMerge w:val="restart"/>
            <w:shd w:val="clear" w:color="auto" w:fill="auto"/>
          </w:tcPr>
          <w:p w14:paraId="2FB91479">
            <w:pPr>
              <w:widowControl/>
              <w:spacing w:line="360" w:lineRule="auto"/>
              <w:jc w:val="left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《光伏系统发电技术》</w:t>
            </w:r>
          </w:p>
          <w:p w14:paraId="4511B8EA">
            <w:pPr>
              <w:widowControl/>
              <w:spacing w:line="360" w:lineRule="auto"/>
              <w:jc w:val="left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《材料科学》</w:t>
            </w:r>
          </w:p>
          <w:p w14:paraId="1D4AE01F">
            <w:pPr>
              <w:widowControl/>
              <w:spacing w:line="360" w:lineRule="auto"/>
              <w:jc w:val="left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《金属学原理》</w:t>
            </w:r>
          </w:p>
          <w:p w14:paraId="61192C0A">
            <w:pPr>
              <w:widowControl/>
              <w:spacing w:line="360" w:lineRule="auto"/>
              <w:jc w:val="left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《太阳能光伏发电系统及其应用》</w:t>
            </w:r>
          </w:p>
          <w:p w14:paraId="1F25ADBA">
            <w:pPr>
              <w:widowControl/>
              <w:spacing w:line="360" w:lineRule="auto"/>
              <w:jc w:val="left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《光伏材料科学》</w:t>
            </w:r>
          </w:p>
          <w:p w14:paraId="3656BFC3">
            <w:pPr>
              <w:widowControl/>
              <w:spacing w:line="360" w:lineRule="auto"/>
              <w:jc w:val="left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《工程热物理》</w:t>
            </w:r>
          </w:p>
          <w:p w14:paraId="0B98024B">
            <w:pPr>
              <w:widowControl/>
              <w:spacing w:line="360" w:lineRule="auto"/>
              <w:jc w:val="left"/>
              <w:rPr>
                <w:rFonts w:ascii="宋体" w:hAnsi="宋体" w:cs="Arial"/>
                <w:bCs/>
                <w:kern w:val="0"/>
                <w:szCs w:val="21"/>
              </w:rPr>
            </w:pPr>
          </w:p>
          <w:p w14:paraId="6A457699">
            <w:pPr>
              <w:widowControl/>
              <w:spacing w:line="360" w:lineRule="auto"/>
              <w:jc w:val="left"/>
              <w:rPr>
                <w:rFonts w:ascii="宋体" w:hAnsi="宋体" w:cs="Arial"/>
                <w:b/>
                <w:bCs/>
                <w:kern w:val="0"/>
                <w:szCs w:val="21"/>
              </w:rPr>
            </w:pPr>
          </w:p>
        </w:tc>
      </w:tr>
      <w:tr w14:paraId="658E3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64" w:type="dxa"/>
            <w:shd w:val="clear" w:color="auto" w:fill="auto"/>
          </w:tcPr>
          <w:p w14:paraId="53DECB4F">
            <w:pPr>
              <w:widowControl/>
              <w:shd w:val="clear" w:color="auto" w:fill="FFFFFF"/>
              <w:jc w:val="lef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晶体硅、硅片、太阳电池及光伏组件生产操作与工艺控制</w:t>
            </w:r>
          </w:p>
        </w:tc>
        <w:tc>
          <w:tcPr>
            <w:tcW w:w="3524" w:type="dxa"/>
            <w:shd w:val="clear" w:color="auto" w:fill="auto"/>
          </w:tcPr>
          <w:p w14:paraId="023ACDC9">
            <w:pPr>
              <w:widowControl/>
              <w:jc w:val="lef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必须理解从晶体生长、切片到制成电池、组件的全流程技术原理；能够操作并维护拉晶炉、切片机、扩散炉、层压机等专用设备。</w:t>
            </w:r>
          </w:p>
        </w:tc>
        <w:tc>
          <w:tcPr>
            <w:tcW w:w="2124" w:type="dxa"/>
            <w:shd w:val="clear" w:color="auto" w:fill="auto"/>
          </w:tcPr>
          <w:p w14:paraId="51FF19D9">
            <w:pPr>
              <w:widowControl/>
              <w:spacing w:line="360" w:lineRule="auto"/>
              <w:jc w:val="lef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执行工艺规程，监控生产参数，保障产品质量与产出。</w:t>
            </w:r>
          </w:p>
        </w:tc>
        <w:tc>
          <w:tcPr>
            <w:tcW w:w="1305" w:type="dxa"/>
            <w:shd w:val="clear" w:color="auto" w:fill="auto"/>
          </w:tcPr>
          <w:p w14:paraId="4B32A906">
            <w:pPr>
              <w:widowControl/>
              <w:spacing w:line="360" w:lineRule="auto"/>
              <w:jc w:val="lef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晶体硅太阳电池制造工艺原理，金属学原理</w:t>
            </w:r>
          </w:p>
        </w:tc>
        <w:tc>
          <w:tcPr>
            <w:tcW w:w="1703" w:type="dxa"/>
            <w:vMerge w:val="continue"/>
            <w:shd w:val="clear" w:color="auto" w:fill="auto"/>
          </w:tcPr>
          <w:p w14:paraId="232B5F54">
            <w:pPr>
              <w:widowControl/>
              <w:spacing w:line="360" w:lineRule="auto"/>
              <w:jc w:val="left"/>
              <w:rPr>
                <w:rFonts w:ascii="宋体" w:hAnsi="宋体" w:cs="Arial"/>
                <w:b/>
                <w:bCs/>
                <w:kern w:val="0"/>
                <w:szCs w:val="21"/>
              </w:rPr>
            </w:pPr>
          </w:p>
        </w:tc>
      </w:tr>
      <w:tr w14:paraId="064BA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</w:trPr>
        <w:tc>
          <w:tcPr>
            <w:tcW w:w="1264" w:type="dxa"/>
            <w:shd w:val="clear" w:color="auto" w:fill="auto"/>
          </w:tcPr>
          <w:p w14:paraId="1ACBC829">
            <w:pPr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Style w:val="12"/>
                <w:rFonts w:hint="eastAsia" w:ascii="宋体" w:hAnsi="宋体"/>
                <w:b w:val="0"/>
                <w:szCs w:val="21"/>
              </w:rPr>
              <w:t>光伏产品的设计与开发</w:t>
            </w:r>
          </w:p>
        </w:tc>
        <w:tc>
          <w:tcPr>
            <w:tcW w:w="3524" w:type="dxa"/>
            <w:shd w:val="clear" w:color="auto" w:fill="auto"/>
          </w:tcPr>
          <w:p w14:paraId="714019D7">
            <w:pPr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Style w:val="12"/>
                <w:rFonts w:hint="eastAsia" w:ascii="宋体" w:hAnsi="宋体"/>
                <w:b w:val="0"/>
                <w:szCs w:val="21"/>
              </w:rPr>
              <w:t>掌握材料与器件物理学知识，精通仿真与测试。</w:t>
            </w:r>
          </w:p>
        </w:tc>
        <w:tc>
          <w:tcPr>
            <w:tcW w:w="2124" w:type="dxa"/>
            <w:shd w:val="clear" w:color="auto" w:fill="auto"/>
          </w:tcPr>
          <w:p w14:paraId="609B461F">
            <w:pPr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Style w:val="12"/>
                <w:rFonts w:hint="eastAsia" w:ascii="宋体" w:hAnsi="宋体"/>
                <w:b w:val="0"/>
                <w:szCs w:val="21"/>
              </w:rPr>
              <w:t>设计高效电池结构，开发新工艺与产品。</w:t>
            </w:r>
          </w:p>
        </w:tc>
        <w:tc>
          <w:tcPr>
            <w:tcW w:w="1305" w:type="dxa"/>
            <w:shd w:val="clear" w:color="auto" w:fill="auto"/>
          </w:tcPr>
          <w:p w14:paraId="7BF3922A">
            <w:pPr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Style w:val="12"/>
                <w:rFonts w:hint="eastAsia" w:ascii="宋体" w:hAnsi="宋体"/>
                <w:b w:val="0"/>
                <w:szCs w:val="21"/>
              </w:rPr>
              <w:t>材料科学基础，光伏产品检测技术</w:t>
            </w:r>
          </w:p>
        </w:tc>
        <w:tc>
          <w:tcPr>
            <w:tcW w:w="1703" w:type="dxa"/>
            <w:vMerge w:val="continue"/>
            <w:shd w:val="clear" w:color="auto" w:fill="auto"/>
          </w:tcPr>
          <w:p w14:paraId="161BA6DF">
            <w:pPr>
              <w:widowControl/>
              <w:spacing w:line="360" w:lineRule="auto"/>
              <w:jc w:val="left"/>
              <w:rPr>
                <w:rFonts w:ascii="宋体" w:hAnsi="宋体" w:cs="Arial"/>
                <w:b/>
                <w:bCs/>
                <w:kern w:val="0"/>
                <w:szCs w:val="21"/>
              </w:rPr>
            </w:pPr>
          </w:p>
        </w:tc>
      </w:tr>
    </w:tbl>
    <w:p w14:paraId="68FAADEE">
      <w:pPr>
        <w:pStyle w:val="3"/>
        <w:keepLines w:val="0"/>
      </w:pPr>
      <w:r>
        <w:rPr>
          <w:rFonts w:hint="eastAsia"/>
        </w:rPr>
        <w:t>五、培养目标</w:t>
      </w:r>
    </w:p>
    <w:p w14:paraId="2C2E2F09">
      <w:pPr>
        <w:spacing w:line="360" w:lineRule="auto"/>
        <w:ind w:firstLine="420" w:firstLineChars="200"/>
      </w:pPr>
      <w:r>
        <w:rPr>
          <w:rFonts w:hint="eastAsia"/>
        </w:rPr>
        <w:t>本专业培养德、智、体、美全面发展，具有良好职业道德和人文素养，掌握光伏材料基本知识，具备光伏材料制备与光伏产品的设计、生产操作、工艺分析能力，从事生产、管理、服务等工作的高素质技术技能人才。</w:t>
      </w:r>
    </w:p>
    <w:p w14:paraId="24D92A27">
      <w:pPr>
        <w:pStyle w:val="4"/>
        <w:keepLines w:val="0"/>
        <w:ind w:firstLine="420"/>
        <w:jc w:val="left"/>
      </w:pPr>
      <w:r>
        <w:rPr>
          <w:rFonts w:hint="eastAsia"/>
        </w:rPr>
        <w:t>（一）素质</w:t>
      </w:r>
    </w:p>
    <w:p w14:paraId="66D45968">
      <w:pPr>
        <w:pStyle w:val="19"/>
        <w:numPr>
          <w:ilvl w:val="0"/>
          <w:numId w:val="1"/>
        </w:numPr>
        <w:spacing w:line="360" w:lineRule="auto"/>
        <w:ind w:left="0" w:firstLine="42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思想政治素质：思想政治素质：坚定拥护中国共产党领导和中国特色社会主义制度，掌握马列主义、毛泽东思想、邓小平理论、“三个代表”思想、习近平新时代中国特色社会主义思想的基本原理和精神实质；以习近平新时代中国特色社会主义思想为指导，践行社会主义核心价值观，具有坚定的理想信念、深厚的爱国情感和中华民族自豪感。</w:t>
      </w:r>
    </w:p>
    <w:p w14:paraId="42328633">
      <w:pPr>
        <w:pStyle w:val="19"/>
        <w:numPr>
          <w:ilvl w:val="0"/>
          <w:numId w:val="1"/>
        </w:numPr>
        <w:spacing w:line="360" w:lineRule="auto"/>
        <w:ind w:firstLineChars="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文化素质：具有较好的人文修养，具有求真务实的科学素养，懂科学，爱科学，具有对新知识、 </w:t>
      </w:r>
    </w:p>
    <w:p w14:paraId="463D33D9">
      <w:pPr>
        <w:snapToGrid w:val="0"/>
        <w:spacing w:line="520" w:lineRule="exact"/>
        <w:outlineLvl w:val="1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新技能的学习能力和创新创业精神。</w:t>
      </w:r>
    </w:p>
    <w:p w14:paraId="7FA729A5">
      <w:pPr>
        <w:pStyle w:val="19"/>
        <w:numPr>
          <w:ilvl w:val="0"/>
          <w:numId w:val="1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职业素质：具有良好职业道德和人文素养，掌握光伏材料基本知识，具备光伏材料制备与光伏</w:t>
      </w:r>
    </w:p>
    <w:p w14:paraId="2CE0D68B">
      <w:pPr>
        <w:pStyle w:val="19"/>
        <w:spacing w:line="360" w:lineRule="auto"/>
        <w:ind w:firstLine="0"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产品的设计、生产操作、工艺分析能力，从事生产、管理、服务等工作的高素质技术技能人才。</w:t>
      </w:r>
    </w:p>
    <w:p w14:paraId="7CEBAA8F">
      <w:pPr>
        <w:pStyle w:val="19"/>
        <w:numPr>
          <w:ilvl w:val="0"/>
          <w:numId w:val="1"/>
        </w:numPr>
        <w:spacing w:line="360" w:lineRule="auto"/>
        <w:ind w:firstLineChars="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身心素质：</w:t>
      </w:r>
      <w:r>
        <w:rPr>
          <w:bCs/>
          <w:szCs w:val="21"/>
        </w:rPr>
        <w:t>具有健康的体魄，健全的人格、良好的心理素质和较强的适应能力、承受能力和交</w:t>
      </w:r>
    </w:p>
    <w:p w14:paraId="063ACC6F">
      <w:pPr>
        <w:pStyle w:val="19"/>
        <w:spacing w:line="360" w:lineRule="auto"/>
        <w:ind w:firstLine="0" w:firstLineChars="0"/>
        <w:rPr>
          <w:rFonts w:ascii="宋体" w:hAnsi="宋体"/>
          <w:szCs w:val="21"/>
        </w:rPr>
      </w:pPr>
      <w:r>
        <w:rPr>
          <w:bCs/>
          <w:szCs w:val="21"/>
        </w:rPr>
        <w:t>往能力。养成良好的体育锻炼、劳动和卫生习惯，达到大学生体育、卫生合格标准。</w:t>
      </w:r>
    </w:p>
    <w:p w14:paraId="31D96563">
      <w:pPr>
        <w:pStyle w:val="4"/>
        <w:keepLines w:val="0"/>
        <w:ind w:firstLine="420"/>
      </w:pPr>
      <w:r>
        <w:rPr>
          <w:rFonts w:hint="eastAsia"/>
        </w:rPr>
        <w:t xml:space="preserve">（二）知识 </w:t>
      </w:r>
    </w:p>
    <w:p w14:paraId="69DA1790">
      <w:pPr>
        <w:pStyle w:val="19"/>
        <w:spacing w:line="360" w:lineRule="auto"/>
        <w:rPr>
          <w:rFonts w:ascii="宋体" w:hAnsi="宋体"/>
          <w:szCs w:val="21"/>
        </w:rPr>
      </w:pPr>
      <w:r>
        <w:rPr>
          <w:bCs/>
          <w:szCs w:val="21"/>
        </w:rPr>
        <w:t>掌握光伏材料基本知识，具备光伏材料制备与光伏产品的设计、生产操作、工艺分析能力。能从事生产、管理、服务等工作。</w:t>
      </w:r>
    </w:p>
    <w:p w14:paraId="2842DF77">
      <w:pPr>
        <w:pStyle w:val="4"/>
        <w:keepLines w:val="0"/>
        <w:ind w:firstLine="420"/>
      </w:pPr>
      <w:r>
        <w:rPr>
          <w:rFonts w:hint="eastAsia"/>
        </w:rPr>
        <w:t>（三）能力</w:t>
      </w:r>
    </w:p>
    <w:p w14:paraId="0E33CD33">
      <w:pPr>
        <w:numPr>
          <w:ilvl w:val="0"/>
          <w:numId w:val="2"/>
        </w:numPr>
        <w:snapToGrid w:val="0"/>
        <w:spacing w:line="520" w:lineRule="exact"/>
        <w:outlineLvl w:val="1"/>
        <w:rPr>
          <w:bCs/>
          <w:szCs w:val="21"/>
        </w:rPr>
      </w:pPr>
      <w:r>
        <w:rPr>
          <w:bCs/>
          <w:szCs w:val="21"/>
        </w:rPr>
        <w:t>具备对新知识、新技能的学习能力和创新创业能力；</w:t>
      </w:r>
    </w:p>
    <w:p w14:paraId="5A576C7A">
      <w:pPr>
        <w:numPr>
          <w:ilvl w:val="0"/>
          <w:numId w:val="2"/>
        </w:numPr>
        <w:snapToGrid w:val="0"/>
        <w:spacing w:line="520" w:lineRule="exact"/>
        <w:outlineLvl w:val="1"/>
        <w:rPr>
          <w:bCs/>
          <w:szCs w:val="21"/>
        </w:rPr>
      </w:pPr>
      <w:r>
        <w:rPr>
          <w:bCs/>
          <w:szCs w:val="21"/>
        </w:rPr>
        <w:t>具备 AutoCAD 和 PROTEL 软件使用能力；</w:t>
      </w:r>
    </w:p>
    <w:p w14:paraId="5F4E2D8A">
      <w:pPr>
        <w:numPr>
          <w:ilvl w:val="0"/>
          <w:numId w:val="2"/>
        </w:numPr>
        <w:snapToGrid w:val="0"/>
        <w:spacing w:line="520" w:lineRule="exact"/>
        <w:outlineLvl w:val="1"/>
        <w:rPr>
          <w:bCs/>
          <w:szCs w:val="21"/>
        </w:rPr>
      </w:pPr>
      <w:r>
        <w:rPr>
          <w:bCs/>
          <w:szCs w:val="21"/>
        </w:rPr>
        <w:t>具备电子产品制造和装配能力；</w:t>
      </w:r>
    </w:p>
    <w:p w14:paraId="2E561594">
      <w:pPr>
        <w:numPr>
          <w:ilvl w:val="0"/>
          <w:numId w:val="2"/>
        </w:numPr>
        <w:snapToGrid w:val="0"/>
        <w:spacing w:line="520" w:lineRule="exact"/>
        <w:outlineLvl w:val="1"/>
        <w:rPr>
          <w:bCs/>
          <w:szCs w:val="21"/>
        </w:rPr>
      </w:pPr>
      <w:r>
        <w:rPr>
          <w:bCs/>
          <w:szCs w:val="21"/>
        </w:rPr>
        <w:t>掌握晶体硅、硅片、太阳电池、光伏组件生产工艺、质量检验等相关知识和技能；</w:t>
      </w:r>
    </w:p>
    <w:p w14:paraId="60ACBB82">
      <w:pPr>
        <w:numPr>
          <w:ilvl w:val="0"/>
          <w:numId w:val="2"/>
        </w:numPr>
        <w:snapToGrid w:val="0"/>
        <w:spacing w:line="520" w:lineRule="exact"/>
        <w:outlineLvl w:val="1"/>
        <w:rPr>
          <w:bCs/>
          <w:szCs w:val="21"/>
        </w:rPr>
      </w:pPr>
      <w:r>
        <w:rPr>
          <w:bCs/>
          <w:szCs w:val="21"/>
        </w:rPr>
        <w:t>掌握光伏发电系统的工作原理、设计方法、施工技术、运行维护、检测等相关知识和技能；</w:t>
      </w:r>
    </w:p>
    <w:p w14:paraId="1AED75F9">
      <w:pPr>
        <w:numPr>
          <w:ilvl w:val="0"/>
          <w:numId w:val="2"/>
        </w:numPr>
        <w:snapToGrid w:val="0"/>
        <w:spacing w:line="520" w:lineRule="exact"/>
        <w:outlineLvl w:val="1"/>
        <w:rPr>
          <w:bCs/>
          <w:szCs w:val="21"/>
        </w:rPr>
      </w:pPr>
      <w:r>
        <w:rPr>
          <w:bCs/>
          <w:szCs w:val="21"/>
        </w:rPr>
        <w:t>掌握光伏应用产品的开发设计与调试的相关知识和技能；</w:t>
      </w:r>
    </w:p>
    <w:p w14:paraId="714AB760">
      <w:pPr>
        <w:numPr>
          <w:ilvl w:val="0"/>
          <w:numId w:val="2"/>
        </w:numPr>
        <w:snapToGrid w:val="0"/>
        <w:spacing w:line="520" w:lineRule="exact"/>
        <w:outlineLvl w:val="1"/>
        <w:rPr>
          <w:bCs/>
          <w:szCs w:val="21"/>
        </w:rPr>
      </w:pPr>
      <w:r>
        <w:rPr>
          <w:bCs/>
          <w:szCs w:val="21"/>
        </w:rPr>
        <w:t>了解半导体物理与器件、硅材料科学与技术等学科的基础理论和基本知识。</w:t>
      </w:r>
    </w:p>
    <w:p w14:paraId="25AC042F">
      <w:pPr>
        <w:pStyle w:val="3"/>
        <w:keepLines w:val="0"/>
      </w:pPr>
      <w:r>
        <w:rPr>
          <w:rFonts w:hint="eastAsia"/>
        </w:rPr>
        <w:t>七、毕业要求</w:t>
      </w:r>
    </w:p>
    <w:p w14:paraId="3D7B2930">
      <w:pPr>
        <w:pStyle w:val="4"/>
        <w:keepLines w:val="0"/>
        <w:ind w:firstLine="420"/>
      </w:pPr>
      <w:r>
        <w:rPr>
          <w:rFonts w:hint="eastAsia"/>
        </w:rPr>
        <w:t>（一）毕业要求</w:t>
      </w:r>
    </w:p>
    <w:p w14:paraId="1C3C2197">
      <w:pPr>
        <w:spacing w:line="360" w:lineRule="auto"/>
        <w:ind w:firstLine="415" w:firstLineChars="19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（1）毕业总学分不得低于159学分，必修学分123学分，选修学分不低于28学分。</w:t>
      </w:r>
    </w:p>
    <w:p w14:paraId="78FEA6DC">
      <w:pPr>
        <w:spacing w:line="360" w:lineRule="auto"/>
        <w:ind w:firstLine="415" w:firstLineChars="19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（2）项目替代学分。比赛获奖、考证、参加项目开发等根据专业认定可以替换专业非核心岗位课程学分。替换学分不得超过15学分。</w:t>
      </w:r>
    </w:p>
    <w:p w14:paraId="0C4078D7">
      <w:pPr>
        <w:spacing w:line="360" w:lineRule="auto"/>
        <w:ind w:firstLine="415" w:firstLineChars="19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在校期间参与项目开发每周可替换非专业核心课1学分，但累计不得超过10学分；参与专业技能竞赛最多可替换非专业核心课5学分（省级一等奖、二等奖、三等奖、优秀奖分别可替换3学分、2学分、1学分、</w:t>
      </w:r>
      <w:r>
        <w:rPr>
          <w:rFonts w:ascii="宋体" w:hAnsi="宋体"/>
          <w:szCs w:val="21"/>
        </w:rPr>
        <w:t>0.5</w:t>
      </w:r>
      <w:r>
        <w:rPr>
          <w:rFonts w:hint="eastAsia" w:ascii="宋体" w:hAnsi="宋体"/>
          <w:szCs w:val="21"/>
        </w:rPr>
        <w:t>学分；国家级一等奖、二等奖、三等奖分别可替换5学分、4学分、3学分）。。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158"/>
        <w:gridCol w:w="6260"/>
      </w:tblGrid>
      <w:tr w14:paraId="290A4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46" w:type="dxa"/>
            <w:gridSpan w:val="2"/>
            <w:vAlign w:val="center"/>
          </w:tcPr>
          <w:p w14:paraId="1E7AA155">
            <w:pPr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类别</w:t>
            </w:r>
          </w:p>
        </w:tc>
        <w:tc>
          <w:tcPr>
            <w:tcW w:w="6260" w:type="dxa"/>
            <w:vAlign w:val="center"/>
          </w:tcPr>
          <w:p w14:paraId="543354E7">
            <w:pPr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可替换学分</w:t>
            </w:r>
          </w:p>
        </w:tc>
      </w:tr>
      <w:tr w14:paraId="4CCC7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restart"/>
            <w:vAlign w:val="center"/>
          </w:tcPr>
          <w:p w14:paraId="3A6A9E90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技能竞赛类</w:t>
            </w:r>
          </w:p>
        </w:tc>
        <w:tc>
          <w:tcPr>
            <w:tcW w:w="2158" w:type="dxa"/>
            <w:vAlign w:val="center"/>
          </w:tcPr>
          <w:p w14:paraId="4781800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教育行政主管部门组织的竞赛</w:t>
            </w:r>
          </w:p>
        </w:tc>
        <w:tc>
          <w:tcPr>
            <w:tcW w:w="6260" w:type="dxa"/>
            <w:vAlign w:val="center"/>
          </w:tcPr>
          <w:p w14:paraId="1E91C8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市级三等奖、二等奖、一等奖、特等奖可分别替换0.5学分、1学分、2学分、3学分；省级优秀奖、三等奖、二等奖、一等奖、特等奖可分别替换2学分、3学分、4学分、5学分、6学分；国家级优秀奖、三等奖、二等奖、一等奖、特等奖可分别替换5学分、6学分、7学分、8学分、9学分。</w:t>
            </w:r>
          </w:p>
        </w:tc>
      </w:tr>
      <w:tr w14:paraId="4E587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continue"/>
            <w:vAlign w:val="center"/>
          </w:tcPr>
          <w:p w14:paraId="6F46DD1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5BAF2B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其他行业协会或社会组织的竞赛</w:t>
            </w:r>
          </w:p>
        </w:tc>
        <w:tc>
          <w:tcPr>
            <w:tcW w:w="6260" w:type="dxa"/>
            <w:vAlign w:val="center"/>
          </w:tcPr>
          <w:p w14:paraId="3930CA11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市级一等奖、特等奖可分别替换0.5学分、1学分；省级优秀奖、三等奖、二等奖、一等奖、特等奖可分别替换1学分、2学分、3学分、4学分、5学分；国家级优秀奖、三等奖、二等奖、一等奖、特等奖可分别替换4学分、5学分、6学分、7学分、8学分</w:t>
            </w:r>
          </w:p>
        </w:tc>
      </w:tr>
      <w:tr w14:paraId="2D66F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continue"/>
            <w:vAlign w:val="center"/>
          </w:tcPr>
          <w:p w14:paraId="394ACA6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6F3A1E5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校级竞赛</w:t>
            </w:r>
          </w:p>
        </w:tc>
        <w:tc>
          <w:tcPr>
            <w:tcW w:w="6260" w:type="dxa"/>
            <w:vAlign w:val="center"/>
          </w:tcPr>
          <w:p w14:paraId="1646EDED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校级技能竞赛一等奖以上可替换0.5学分</w:t>
            </w:r>
          </w:p>
        </w:tc>
      </w:tr>
      <w:tr w14:paraId="74986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restart"/>
            <w:vAlign w:val="center"/>
          </w:tcPr>
          <w:p w14:paraId="3D7F7FA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项目开发类</w:t>
            </w:r>
          </w:p>
        </w:tc>
        <w:tc>
          <w:tcPr>
            <w:tcW w:w="2158" w:type="dxa"/>
            <w:vAlign w:val="center"/>
          </w:tcPr>
          <w:p w14:paraId="049075D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自主实施的项目开发</w:t>
            </w:r>
          </w:p>
        </w:tc>
        <w:tc>
          <w:tcPr>
            <w:tcW w:w="6260" w:type="dxa"/>
            <w:vAlign w:val="center"/>
          </w:tcPr>
          <w:p w14:paraId="2F885055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提供合作企业证明文件、工商登记证明等有效证明文件由专业负责人认定可替换学分。</w:t>
            </w:r>
          </w:p>
        </w:tc>
      </w:tr>
      <w:tr w14:paraId="49995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continue"/>
            <w:vAlign w:val="center"/>
          </w:tcPr>
          <w:p w14:paraId="2033F89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7DD0F46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参与老师组织的项目开发</w:t>
            </w:r>
          </w:p>
        </w:tc>
        <w:tc>
          <w:tcPr>
            <w:tcW w:w="6260" w:type="dxa"/>
            <w:vAlign w:val="center"/>
          </w:tcPr>
          <w:p w14:paraId="554C465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参与老师组织的项目开发，由专业负责人和项目主持老师认定可替换学分，原则上参加2周替换1学分。</w:t>
            </w:r>
          </w:p>
        </w:tc>
      </w:tr>
      <w:tr w14:paraId="2D64F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restart"/>
            <w:vAlign w:val="center"/>
          </w:tcPr>
          <w:p w14:paraId="09125D5C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职业资格证书类</w:t>
            </w:r>
          </w:p>
        </w:tc>
        <w:tc>
          <w:tcPr>
            <w:tcW w:w="2158" w:type="dxa"/>
            <w:vAlign w:val="center"/>
          </w:tcPr>
          <w:p w14:paraId="18E8FCE0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人力资源和社会保障系统职业资格证书</w:t>
            </w:r>
          </w:p>
        </w:tc>
        <w:tc>
          <w:tcPr>
            <w:tcW w:w="6260" w:type="dxa"/>
            <w:vAlign w:val="center"/>
          </w:tcPr>
          <w:p w14:paraId="14CBB32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取得中级工可替换1学分，高级工可替换2学分，技师级可替换6学分</w:t>
            </w:r>
          </w:p>
        </w:tc>
      </w:tr>
      <w:tr w14:paraId="7DBA7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continue"/>
            <w:vAlign w:val="center"/>
          </w:tcPr>
          <w:p w14:paraId="4BA3481C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1AB9B09A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驾照</w:t>
            </w:r>
          </w:p>
        </w:tc>
        <w:tc>
          <w:tcPr>
            <w:tcW w:w="6260" w:type="dxa"/>
            <w:vAlign w:val="center"/>
          </w:tcPr>
          <w:p w14:paraId="219EEBEC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取得驾驶证可替换2学分</w:t>
            </w:r>
          </w:p>
        </w:tc>
      </w:tr>
      <w:tr w14:paraId="49F89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restart"/>
            <w:vAlign w:val="center"/>
          </w:tcPr>
          <w:p w14:paraId="667C197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发明专利</w:t>
            </w:r>
          </w:p>
        </w:tc>
        <w:tc>
          <w:tcPr>
            <w:tcW w:w="2158" w:type="dxa"/>
            <w:vAlign w:val="center"/>
          </w:tcPr>
          <w:p w14:paraId="6335BCDB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发明专利</w:t>
            </w:r>
          </w:p>
        </w:tc>
        <w:tc>
          <w:tcPr>
            <w:tcW w:w="6260" w:type="dxa"/>
            <w:vAlign w:val="center"/>
          </w:tcPr>
          <w:p w14:paraId="00A2F07E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发明专利</w:t>
            </w:r>
            <w:r>
              <w:rPr>
                <w:rFonts w:hint="eastAsia" w:ascii="宋体" w:hAnsi="宋体"/>
                <w:sz w:val="18"/>
                <w:szCs w:val="18"/>
              </w:rPr>
              <w:t>可替换8学分</w:t>
            </w:r>
          </w:p>
        </w:tc>
      </w:tr>
      <w:tr w14:paraId="4ED5B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continue"/>
          </w:tcPr>
          <w:p w14:paraId="66629A48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5D6E8D4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实用新型专利</w:t>
            </w:r>
          </w:p>
        </w:tc>
        <w:tc>
          <w:tcPr>
            <w:tcW w:w="6260" w:type="dxa"/>
            <w:vAlign w:val="center"/>
          </w:tcPr>
          <w:p w14:paraId="1F0CF9DA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实用新型专利</w:t>
            </w:r>
            <w:r>
              <w:rPr>
                <w:rFonts w:hint="eastAsia" w:ascii="宋体" w:hAnsi="宋体"/>
                <w:sz w:val="18"/>
                <w:szCs w:val="18"/>
              </w:rPr>
              <w:t>可替换6学分</w:t>
            </w:r>
          </w:p>
        </w:tc>
      </w:tr>
      <w:tr w14:paraId="6D749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continue"/>
          </w:tcPr>
          <w:p w14:paraId="18C805DD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6D1DDF6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外观设计专利</w:t>
            </w:r>
          </w:p>
        </w:tc>
        <w:tc>
          <w:tcPr>
            <w:tcW w:w="6260" w:type="dxa"/>
            <w:vAlign w:val="center"/>
          </w:tcPr>
          <w:p w14:paraId="2F78DEC8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外观设计专利</w:t>
            </w:r>
            <w:r>
              <w:rPr>
                <w:rFonts w:hint="eastAsia" w:ascii="宋体" w:hAnsi="宋体"/>
                <w:sz w:val="18"/>
                <w:szCs w:val="18"/>
              </w:rPr>
              <w:t>可替换4学分</w:t>
            </w:r>
          </w:p>
        </w:tc>
      </w:tr>
    </w:tbl>
    <w:p w14:paraId="2CA28F55">
      <w:pPr>
        <w:pStyle w:val="4"/>
        <w:keepLines w:val="0"/>
        <w:ind w:firstLine="420"/>
      </w:pPr>
      <w:r>
        <w:rPr>
          <w:rFonts w:hint="eastAsia"/>
        </w:rPr>
        <w:t>（二）考证要求</w:t>
      </w:r>
    </w:p>
    <w:p w14:paraId="21EB69ED">
      <w:pPr>
        <w:pStyle w:val="3"/>
        <w:keepLines w:val="0"/>
        <w:ind w:firstLine="1050" w:firstLineChars="500"/>
        <w:rPr>
          <w:rFonts w:ascii="宋体" w:hAnsi="宋体" w:eastAsia="宋体" w:cs="宋体"/>
          <w:b w:val="0"/>
          <w:bCs/>
          <w:color w:val="0D0D0D" w:themeColor="text1" w:themeTint="F2"/>
          <w:sz w:val="21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D0D0D" w:themeColor="text1" w:themeTint="F2"/>
          <w:sz w:val="21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无</w:t>
      </w:r>
    </w:p>
    <w:p w14:paraId="15A1BB34">
      <w:pPr>
        <w:pStyle w:val="3"/>
        <w:keepLines w:val="0"/>
      </w:pPr>
      <w:r>
        <w:rPr>
          <w:rFonts w:hint="eastAsia"/>
        </w:rPr>
        <w:t>八、课程设置及学时安排</w:t>
      </w:r>
    </w:p>
    <w:p w14:paraId="21655B91">
      <w:pPr>
        <w:pStyle w:val="4"/>
        <w:keepLines w:val="0"/>
        <w:ind w:firstLine="420"/>
      </w:pPr>
      <w:r>
        <w:rPr>
          <w:rFonts w:hint="eastAsia"/>
        </w:rPr>
        <w:t>（一）课程设置</w:t>
      </w:r>
    </w:p>
    <w:p w14:paraId="74E07CBA">
      <w:p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1.主要包括公共基础课程和专业课程。</w:t>
      </w:r>
    </w:p>
    <w:p w14:paraId="03140D42">
      <w:p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公共基础课程一般包括思想政治理论课、军事课、大学英语、体育、心理健康、就业指导、创新创业、职业素质、劳动教育、传统文化教育等方面的课程或专题讲座（活动）。</w:t>
      </w:r>
    </w:p>
    <w:p w14:paraId="26FBF7F3">
      <w:p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课一般包括专业基础课程、专业核心课程、专业拓展课程，并涵盖有关实践性教学环节。专业课分***个岗位方向，分别为***岗位，不同岗位核心课程不同。学生可以根据自己的个性特点选择对应岗位。学生在第二学期末进行岗位的选择，从第三学期开始按所选岗位进行上课。</w:t>
      </w:r>
    </w:p>
    <w:p w14:paraId="6F73E1AF">
      <w:p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专业基础课程：无机化学》《分析化学》《物理化学》《材料科学基础》和《金属学》。其中，无机化学、分析化学、物理化学和材料化学已包含各自的实验课程，例如《无机化学》就包含了《无机化学实验》。</w:t>
      </w:r>
    </w:p>
    <w:p w14:paraId="13329A39">
      <w:p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专业核心课程：《晶体硅太阳电池制造工艺原理》《光伏组件制造工艺及应用》《光伏产品检测技术》《光伏系统发电技术》和《光伏材料学》。</w:t>
      </w:r>
    </w:p>
    <w:p w14:paraId="56CF2DB6">
      <w:p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专业拓展课：《热工与流体力学基础》《太阳能光伏发电系统及其应用》《工设备与测试技术》《太阳能光伏发电应用技术》《工程热物理》和《微型光伏发电系统创新设计与应用》（及实验）。</w:t>
      </w:r>
    </w:p>
    <w:p w14:paraId="119717CB">
      <w:pPr>
        <w:spacing w:line="400" w:lineRule="exact"/>
        <w:ind w:firstLine="42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2.专业核心课程名称及主要教学内容</w:t>
      </w:r>
    </w:p>
    <w:tbl>
      <w:tblPr>
        <w:tblStyle w:val="9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1934"/>
        <w:gridCol w:w="6538"/>
      </w:tblGrid>
      <w:tr w14:paraId="4E225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vAlign w:val="center"/>
          </w:tcPr>
          <w:p w14:paraId="6DCBB98A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序号</w:t>
            </w:r>
          </w:p>
        </w:tc>
        <w:tc>
          <w:tcPr>
            <w:tcW w:w="1934" w:type="dxa"/>
            <w:vAlign w:val="center"/>
          </w:tcPr>
          <w:p w14:paraId="3BFD67FB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专业核心课名称</w:t>
            </w:r>
          </w:p>
        </w:tc>
        <w:tc>
          <w:tcPr>
            <w:tcW w:w="6538" w:type="dxa"/>
            <w:vAlign w:val="center"/>
          </w:tcPr>
          <w:p w14:paraId="015EB538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主要教学内容</w:t>
            </w:r>
          </w:p>
        </w:tc>
      </w:tr>
      <w:tr w14:paraId="6E980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2" w:type="dxa"/>
            <w:vAlign w:val="center"/>
          </w:tcPr>
          <w:p w14:paraId="1E71D83C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1</w:t>
            </w:r>
          </w:p>
        </w:tc>
        <w:tc>
          <w:tcPr>
            <w:tcW w:w="1934" w:type="dxa"/>
            <w:vAlign w:val="center"/>
          </w:tcPr>
          <w:p w14:paraId="24E670D7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Cs w:val="21"/>
              </w:rPr>
              <w:t>晶体硅太阳电池制造工艺原理</w:t>
            </w:r>
          </w:p>
        </w:tc>
        <w:tc>
          <w:tcPr>
            <w:tcW w:w="6538" w:type="dxa"/>
            <w:vAlign w:val="center"/>
          </w:tcPr>
          <w:p w14:paraId="5EDA00C4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bCs/>
                <w:szCs w:val="21"/>
              </w:rPr>
              <w:t>晶体硅电池片、单晶硅和多晶硅电池片的制造工艺，电池片电学性能测试，电池片的激光切割，电池片的组装与焊接，电池片的层叠，组件的层压工艺，西门子法，硅烷法，流化床法，冶金法，直拉单晶工艺，杂质的引入、分布和掺杂，多晶硅铸锭炉热场数学模型，多晶硅铸造生长工艺，硅晶体性能及测试，硅块红外探伤，无接触硅片厚度测试，晶硅中的金属杂质及影响，硅片及器具的清洗，酸腐蚀多晶硅片制绒，两步扩散法制结原理，离子注入掺杂制结，太阳电池的离子注入掺杂，硅片表面和边缘刻蚀，氮化硅减反射薄膜沉积方法，电极的丝网印刷与烧结，高转换效率晶体硅太阳电池，太阳电池及其组件的测试，太阳电池组件的设计鉴定和定型等</w:t>
            </w:r>
            <w:r>
              <w:rPr>
                <w:rFonts w:hint="eastAsia"/>
                <w:bCs/>
                <w:szCs w:val="21"/>
              </w:rPr>
              <w:t>。</w:t>
            </w:r>
          </w:p>
        </w:tc>
      </w:tr>
      <w:tr w14:paraId="0142B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2" w:type="dxa"/>
            <w:vAlign w:val="center"/>
          </w:tcPr>
          <w:p w14:paraId="13244E6D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2</w:t>
            </w:r>
          </w:p>
        </w:tc>
        <w:tc>
          <w:tcPr>
            <w:tcW w:w="1934" w:type="dxa"/>
            <w:vAlign w:val="center"/>
          </w:tcPr>
          <w:p w14:paraId="1CC15557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Cs w:val="21"/>
              </w:rPr>
              <w:t>光伏组件制造工艺及应用</w:t>
            </w:r>
          </w:p>
        </w:tc>
        <w:tc>
          <w:tcPr>
            <w:tcW w:w="6538" w:type="dxa"/>
            <w:vAlign w:val="center"/>
          </w:tcPr>
          <w:p w14:paraId="26122FE0">
            <w:pPr>
              <w:snapToGrid w:val="0"/>
              <w:spacing w:line="520" w:lineRule="exact"/>
              <w:ind w:firstLine="420" w:firstLineChars="200"/>
              <w:outlineLvl w:val="1"/>
              <w:rPr>
                <w:bCs/>
                <w:szCs w:val="21"/>
              </w:rPr>
            </w:pPr>
            <w:r>
              <w:rPr>
                <w:bCs/>
                <w:szCs w:val="21"/>
              </w:rPr>
              <w:t>检测电池片、制备辅助材料、焊接电池片及叠层、光伏组件中检及层压、光伏组件固化、装框与清洗、光伏组件终检与包装等基本原理与技能。组件的缺陷测试，组件的装框，组件的成品测试，单体电池分选测试仪的操作，电池片的单焊工艺，光伏组件中检及层压，光伏组件固化，装框与清洗，光伏组件终检与包装等。</w:t>
            </w:r>
          </w:p>
          <w:p w14:paraId="36FA3889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</w:p>
        </w:tc>
      </w:tr>
      <w:tr w14:paraId="01BC1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2" w:type="dxa"/>
            <w:vAlign w:val="center"/>
          </w:tcPr>
          <w:p w14:paraId="14E64E32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3</w:t>
            </w:r>
          </w:p>
        </w:tc>
        <w:tc>
          <w:tcPr>
            <w:tcW w:w="1934" w:type="dxa"/>
            <w:vAlign w:val="center"/>
          </w:tcPr>
          <w:p w14:paraId="682658FB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Cs w:val="21"/>
              </w:rPr>
              <w:t>光伏产品检测技术</w:t>
            </w:r>
          </w:p>
        </w:tc>
        <w:tc>
          <w:tcPr>
            <w:tcW w:w="6538" w:type="dxa"/>
            <w:vAlign w:val="center"/>
          </w:tcPr>
          <w:p w14:paraId="21B5BC5A">
            <w:pPr>
              <w:spacing w:line="520" w:lineRule="exact"/>
              <w:ind w:firstLine="420" w:firstLineChars="200"/>
              <w:rPr>
                <w:bCs/>
                <w:szCs w:val="21"/>
              </w:rPr>
            </w:pPr>
            <w:r>
              <w:rPr>
                <w:bCs/>
                <w:szCs w:val="21"/>
              </w:rPr>
              <w:t>硅片检测技术、太阳电池检测技术、光伏组件检测技术、光伏系统部件及光伏电站检测技术等。</w:t>
            </w:r>
          </w:p>
          <w:p w14:paraId="43B1EF58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0F3F8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2" w:type="dxa"/>
            <w:vAlign w:val="center"/>
          </w:tcPr>
          <w:p w14:paraId="62C47805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4</w:t>
            </w:r>
          </w:p>
        </w:tc>
        <w:tc>
          <w:tcPr>
            <w:tcW w:w="1934" w:type="dxa"/>
            <w:vAlign w:val="center"/>
          </w:tcPr>
          <w:p w14:paraId="275381A0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Cs w:val="21"/>
              </w:rPr>
              <w:t>光伏系统发电技术</w:t>
            </w:r>
          </w:p>
        </w:tc>
        <w:tc>
          <w:tcPr>
            <w:tcW w:w="6538" w:type="dxa"/>
            <w:vAlign w:val="center"/>
          </w:tcPr>
          <w:p w14:paraId="6162CF0A">
            <w:pPr>
              <w:spacing w:line="520" w:lineRule="exact"/>
              <w:ind w:firstLine="420" w:firstLineChars="200"/>
              <w:rPr>
                <w:bCs/>
                <w:szCs w:val="21"/>
              </w:rPr>
            </w:pPr>
            <w:r>
              <w:rPr>
                <w:bCs/>
                <w:szCs w:val="21"/>
              </w:rPr>
              <w:t>光伏系统部件，光伏系统设计，光伏系统效率，积灰与积雪对太阳电池组件的影响，太阳电池组件与系统热学问题、光伏系统的经济性分析，光伏系统中太阳电池组件产品技术方向，光伏系统新趋势。</w:t>
            </w:r>
          </w:p>
          <w:p w14:paraId="03C5B03C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</w:p>
        </w:tc>
      </w:tr>
      <w:tr w14:paraId="65B68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2" w:type="dxa"/>
            <w:vAlign w:val="center"/>
          </w:tcPr>
          <w:p w14:paraId="3F73085A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5</w:t>
            </w:r>
          </w:p>
        </w:tc>
        <w:tc>
          <w:tcPr>
            <w:tcW w:w="1934" w:type="dxa"/>
            <w:vAlign w:val="center"/>
          </w:tcPr>
          <w:p w14:paraId="7305216B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Cs w:val="21"/>
              </w:rPr>
              <w:t>光伏材料学</w:t>
            </w:r>
          </w:p>
        </w:tc>
        <w:tc>
          <w:tcPr>
            <w:tcW w:w="6538" w:type="dxa"/>
            <w:vAlign w:val="center"/>
          </w:tcPr>
          <w:p w14:paraId="55F80B96">
            <w:pPr>
              <w:spacing w:line="520" w:lineRule="exact"/>
              <w:ind w:firstLine="420" w:firstLineChars="200"/>
              <w:rPr>
                <w:bCs/>
                <w:szCs w:val="21"/>
              </w:rPr>
            </w:pPr>
            <w:r>
              <w:rPr>
                <w:bCs/>
                <w:szCs w:val="21"/>
              </w:rPr>
              <w:t>光伏器件的工作原理及特性参数、各类电池的材料、结构与制备技术，力图从材料学的角度解析各类太阳能电池的材料-结构-性能之间的关系,太阳电池的发展史及发展方向。第2章介绍半导体及p-n结相关基础知识，太阳能电池相关基础知识。晶体硅太阳电池、Ⅲ-Ⅴ族化合物电池、非晶硅薄膜电池、铜铟硒薄膜太阳电池、染料敏化电池与有机电池的原理、器件结构及性能</w:t>
            </w:r>
          </w:p>
          <w:p w14:paraId="66281DD5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</w:p>
        </w:tc>
      </w:tr>
      <w:tr w14:paraId="0CC7A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2" w:type="dxa"/>
            <w:vAlign w:val="center"/>
          </w:tcPr>
          <w:p w14:paraId="320E1A9C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6</w:t>
            </w:r>
          </w:p>
        </w:tc>
        <w:tc>
          <w:tcPr>
            <w:tcW w:w="1934" w:type="dxa"/>
            <w:vAlign w:val="center"/>
          </w:tcPr>
          <w:p w14:paraId="04BFF3AC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6538" w:type="dxa"/>
            <w:vAlign w:val="center"/>
          </w:tcPr>
          <w:p w14:paraId="525208C8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</w:p>
        </w:tc>
      </w:tr>
    </w:tbl>
    <w:p w14:paraId="748A8AF8">
      <w:pPr>
        <w:spacing w:line="400" w:lineRule="exact"/>
        <w:rPr>
          <w:rFonts w:ascii="宋体" w:hAnsi="宋体"/>
          <w:b/>
        </w:rPr>
      </w:pPr>
    </w:p>
    <w:p w14:paraId="1471ED30">
      <w:pPr>
        <w:spacing w:line="360" w:lineRule="exact"/>
        <w:ind w:firstLine="420"/>
        <w:outlineLvl w:val="0"/>
        <w:rPr>
          <w:rFonts w:ascii="宋体" w:hAnsi="宋体"/>
          <w:bCs/>
        </w:rPr>
      </w:pPr>
      <w:r>
        <w:rPr>
          <w:rFonts w:hint="eastAsia" w:ascii="宋体" w:hAnsi="宋体"/>
          <w:bCs/>
        </w:rPr>
        <w:t>3.实践性教学环节主要包括顶岗实习、软件开发项目实训、社会实践、毕业项目综合实训、创新创业实践等。</w:t>
      </w:r>
    </w:p>
    <w:p w14:paraId="5C4B9B3B">
      <w:pPr>
        <w:pStyle w:val="4"/>
        <w:keepLines w:val="0"/>
        <w:ind w:firstLine="420"/>
      </w:pPr>
      <w:r>
        <w:rPr>
          <w:rFonts w:hint="eastAsia"/>
        </w:rPr>
        <w:t>（二）学时安排</w:t>
      </w:r>
    </w:p>
    <w:p w14:paraId="34C19E28">
      <w:pPr>
        <w:spacing w:line="360" w:lineRule="exact"/>
        <w:ind w:firstLine="420"/>
        <w:outlineLvl w:val="0"/>
        <w:rPr>
          <w:rFonts w:ascii="宋体" w:hAnsi="宋体"/>
          <w:bCs/>
        </w:rPr>
      </w:pPr>
      <w:r>
        <w:rPr>
          <w:rFonts w:hint="eastAsia" w:ascii="宋体" w:hAnsi="宋体"/>
          <w:bCs/>
        </w:rPr>
        <w:t>本专业总学时为**学时，其中实践性教学学时为**学时，占总学时的**% 。其中，顶岗实习为6个月，约420学时。</w:t>
      </w:r>
    </w:p>
    <w:tbl>
      <w:tblPr>
        <w:tblStyle w:val="9"/>
        <w:tblW w:w="883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1"/>
        <w:gridCol w:w="1325"/>
        <w:gridCol w:w="1140"/>
        <w:gridCol w:w="830"/>
        <w:gridCol w:w="1460"/>
        <w:gridCol w:w="810"/>
        <w:gridCol w:w="1242"/>
        <w:gridCol w:w="938"/>
      </w:tblGrid>
      <w:tr w14:paraId="60E03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3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557AA2"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Cs w:val="21"/>
              </w:rPr>
              <w:t>理论与实践教学分配及比例表</w:t>
            </w:r>
          </w:p>
        </w:tc>
      </w:tr>
      <w:tr w14:paraId="1DD6C9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5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23B8FA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项目</w:t>
            </w:r>
          </w:p>
        </w:tc>
        <w:tc>
          <w:tcPr>
            <w:tcW w:w="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AE498B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学时</w:t>
            </w:r>
          </w:p>
        </w:tc>
        <w:tc>
          <w:tcPr>
            <w:tcW w:w="1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4D71D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占总学时</w:t>
            </w:r>
          </w:p>
          <w:p w14:paraId="386C0D05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的百分比</w:t>
            </w: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EF1135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学分</w:t>
            </w:r>
          </w:p>
        </w:tc>
        <w:tc>
          <w:tcPr>
            <w:tcW w:w="1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E56CF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占总学分的百分比</w:t>
            </w:r>
          </w:p>
        </w:tc>
        <w:tc>
          <w:tcPr>
            <w:tcW w:w="9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565956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备注</w:t>
            </w:r>
          </w:p>
        </w:tc>
      </w:tr>
      <w:tr w14:paraId="11FC3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09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7538AC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必修课</w:t>
            </w:r>
          </w:p>
        </w:tc>
        <w:tc>
          <w:tcPr>
            <w:tcW w:w="132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7F73C5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综合素质课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65C4D0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理论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821B66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282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6434E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9.85%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F4A6D5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1242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F6127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26.50%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70A6F1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</w:tr>
      <w:tr w14:paraId="39ECD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9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731C360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  <w:tc>
          <w:tcPr>
            <w:tcW w:w="132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45F53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AFFC4F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实践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B09B32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484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D63B35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16.91%</w:t>
            </w:r>
          </w:p>
        </w:tc>
        <w:tc>
          <w:tcPr>
            <w:tcW w:w="81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172DDA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  <w:tc>
          <w:tcPr>
            <w:tcW w:w="124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6C1253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10AC5A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</w:tr>
      <w:tr w14:paraId="7F670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9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050F0E2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  <w:tc>
          <w:tcPr>
            <w:tcW w:w="132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17425B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专业课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C52A46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理论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348834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712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DEEEF5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24.88%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66FD26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82</w:t>
            </w:r>
          </w:p>
        </w:tc>
        <w:tc>
          <w:tcPr>
            <w:tcW w:w="1242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63ECA7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50.60%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D4E70C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</w:tr>
      <w:tr w14:paraId="6A99A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9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FFDC60E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  <w:tc>
          <w:tcPr>
            <w:tcW w:w="132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753C3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472226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实践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E24E69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704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A1FD68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24.60%</w:t>
            </w:r>
          </w:p>
        </w:tc>
        <w:tc>
          <w:tcPr>
            <w:tcW w:w="81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AB270A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  <w:tc>
          <w:tcPr>
            <w:tcW w:w="124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B53CE3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53457E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</w:tr>
      <w:tr w14:paraId="099D0D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9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ECFB16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选修课</w:t>
            </w:r>
          </w:p>
        </w:tc>
        <w:tc>
          <w:tcPr>
            <w:tcW w:w="132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662860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综合素质课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BA641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理论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E0710D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160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82FB0D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5.59%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237811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242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5521A2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10.50%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2778CD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</w:tr>
      <w:tr w14:paraId="138134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9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3F83585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  <w:tc>
          <w:tcPr>
            <w:tcW w:w="132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0E9AB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5FA2DF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实践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2D5D75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124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6E1036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4.33%</w:t>
            </w:r>
          </w:p>
        </w:tc>
        <w:tc>
          <w:tcPr>
            <w:tcW w:w="81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BB30CB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  <w:tc>
          <w:tcPr>
            <w:tcW w:w="124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3C84E9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202F3D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</w:tr>
      <w:tr w14:paraId="4415F6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9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BEC73AF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  <w:tc>
          <w:tcPr>
            <w:tcW w:w="132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516E16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专业课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4B85A2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理论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EEAB5C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148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D3950A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5.17%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196DB3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242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36FB68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7.40%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39F06F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</w:tr>
      <w:tr w14:paraId="137891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9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A80D556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  <w:tc>
          <w:tcPr>
            <w:tcW w:w="132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33945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AC5765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实践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7AA10A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68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D5AAEB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2.38%</w:t>
            </w:r>
          </w:p>
        </w:tc>
        <w:tc>
          <w:tcPr>
            <w:tcW w:w="81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E8FAC2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  <w:tc>
          <w:tcPr>
            <w:tcW w:w="124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1CD3E2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47423F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</w:tr>
      <w:tr w14:paraId="3759E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5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CAFE30E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技能训练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E86420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269E16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2.10%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435BE3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57EF0B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2.47%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B1859D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</w:tr>
      <w:tr w14:paraId="5C7D18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5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AA9B2EC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其他实践活动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419F9A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8043B5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4.19%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843B69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2C85CB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2.47%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177C56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</w:tr>
      <w:tr w14:paraId="3FCE30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5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F9E227F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总计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E76D06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2862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4EDB34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100%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066B06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162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7D2F8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100.00%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874C4A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</w:tr>
      <w:tr w14:paraId="7D60D4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091B2F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理论实践教学比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3AA229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理论教学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851D5D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1302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18C13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48.55%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2B020F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CB0DB6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B99A49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</w:tr>
      <w:tr w14:paraId="39F76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7681F">
            <w:pPr>
              <w:widowControl/>
              <w:jc w:val="left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F458A7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实践教学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2667DD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1380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FE2829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51.45%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EE2D5C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ACB192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4D7CFA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</w:tr>
      <w:tr w14:paraId="506A17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859F42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总计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B6874D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2682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0B39CB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A3B89D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58C491">
            <w:pPr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8A4771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Cs w:val="21"/>
              </w:rPr>
            </w:pPr>
          </w:p>
        </w:tc>
      </w:tr>
    </w:tbl>
    <w:p w14:paraId="6874D636">
      <w:pPr>
        <w:adjustRightInd w:val="0"/>
        <w:snapToGrid w:val="0"/>
        <w:spacing w:line="360" w:lineRule="auto"/>
        <w:ind w:firstLine="527" w:firstLineChars="250"/>
        <w:rPr>
          <w:rFonts w:ascii="宋体" w:hAnsi="宋体"/>
          <w:b/>
          <w:bCs/>
          <w:szCs w:val="21"/>
        </w:rPr>
      </w:pPr>
    </w:p>
    <w:p w14:paraId="1E1E9566">
      <w:pPr>
        <w:pStyle w:val="3"/>
        <w:keepLines w:val="0"/>
      </w:pPr>
      <w:r>
        <w:rPr>
          <w:rFonts w:hint="eastAsia"/>
        </w:rPr>
        <w:t>九、教学基本条件</w:t>
      </w:r>
    </w:p>
    <w:p w14:paraId="31D0F15E">
      <w:pPr>
        <w:pStyle w:val="4"/>
        <w:keepLines w:val="0"/>
        <w:ind w:firstLine="420"/>
      </w:pPr>
      <w:r>
        <w:rPr>
          <w:rFonts w:hint="eastAsia"/>
        </w:rPr>
        <w:t>（一）教师队伍</w:t>
      </w:r>
    </w:p>
    <w:p w14:paraId="200DF82C">
      <w:pPr>
        <w:spacing w:line="400" w:lineRule="exact"/>
        <w:ind w:firstLine="42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1.专任教师</w:t>
      </w:r>
    </w:p>
    <w:p w14:paraId="171C87B7">
      <w:pPr>
        <w:spacing w:line="400" w:lineRule="exact"/>
        <w:ind w:firstLine="420"/>
        <w:jc w:val="center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专任教师一览表</w:t>
      </w:r>
    </w:p>
    <w:tbl>
      <w:tblPr>
        <w:tblStyle w:val="9"/>
        <w:tblW w:w="88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664"/>
        <w:gridCol w:w="545"/>
        <w:gridCol w:w="992"/>
        <w:gridCol w:w="1282"/>
        <w:gridCol w:w="1091"/>
        <w:gridCol w:w="144"/>
        <w:gridCol w:w="1032"/>
        <w:gridCol w:w="672"/>
        <w:gridCol w:w="419"/>
        <w:gridCol w:w="1215"/>
      </w:tblGrid>
      <w:tr w14:paraId="494D7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E1BC7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1282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57F6E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职称、职务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9F187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学历学位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EB04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是否双师</w:t>
            </w:r>
          </w:p>
        </w:tc>
      </w:tr>
      <w:tr w14:paraId="037A2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BA4A7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E28A2A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吴健松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620FF0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教授，氢能专业负责人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265E1D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博士研究生，博士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BA9015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52591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C4275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C3485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黄晓玲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7F8F08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08A99B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硕士研究生，硕士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A6D0C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4FE78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96325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C61D20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盖云妍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FC0D2D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D80674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硕士研究生，硕士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807F35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299A6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688F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7AF9FB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王孔迪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558716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助教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631184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研究生，硕士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CB42D6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0991B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9BEA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875C42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吴标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757BD2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讲师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53EEF8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本科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F2ADDA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5BBA0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B51AC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职称结构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4D0D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高级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86E8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中级</w:t>
            </w:r>
          </w:p>
        </w:tc>
        <w:tc>
          <w:tcPr>
            <w:tcW w:w="2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90D65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初级</w:t>
            </w:r>
          </w:p>
        </w:tc>
      </w:tr>
      <w:tr w14:paraId="545E1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CC95F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3C120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AA122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471CE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8DC29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B4F1A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EB837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</w:tr>
      <w:tr w14:paraId="11CAC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D050A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C41553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E401EE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E74F99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40D08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</w:t>
            </w:r>
            <w:r>
              <w:rPr>
                <w:rFonts w:hint="eastAsia" w:ascii="宋体" w:hAnsi="宋体" w:cs="宋体"/>
                <w:szCs w:val="21"/>
              </w:rPr>
              <w:t>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341EE2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39C52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60%</w:t>
            </w:r>
          </w:p>
        </w:tc>
      </w:tr>
      <w:tr w14:paraId="4E03D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54F7C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年龄结构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119AC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35岁以下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87102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35-45岁</w:t>
            </w:r>
          </w:p>
        </w:tc>
        <w:tc>
          <w:tcPr>
            <w:tcW w:w="2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4A9AE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45岁以上</w:t>
            </w:r>
          </w:p>
        </w:tc>
      </w:tr>
      <w:tr w14:paraId="3BE82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25976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3C493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21FF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0AA89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8741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7FC16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577B5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</w:tr>
      <w:tr w14:paraId="465AF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A7D47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56937A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05409E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60%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BECC9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0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D5BBFD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C02CE9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7B16D9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40%</w:t>
            </w:r>
          </w:p>
        </w:tc>
      </w:tr>
      <w:tr w14:paraId="31203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6275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学位结构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2E066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博士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5681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硕士（含在读）</w:t>
            </w:r>
          </w:p>
        </w:tc>
        <w:tc>
          <w:tcPr>
            <w:tcW w:w="2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A82A2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学士</w:t>
            </w:r>
          </w:p>
        </w:tc>
      </w:tr>
      <w:tr w14:paraId="2A74D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423DC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3B4F6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87BF6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24FCF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2937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8DC94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27E6A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</w:tr>
      <w:tr w14:paraId="3455E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B7E65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566B1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A46BB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11F91E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75B1CD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60%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72FD5D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0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897837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0</w:t>
            </w:r>
          </w:p>
        </w:tc>
      </w:tr>
      <w:tr w14:paraId="3F24C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76EDA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双师素质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3ED9E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5CC89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否</w:t>
            </w:r>
          </w:p>
        </w:tc>
        <w:tc>
          <w:tcPr>
            <w:tcW w:w="230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21FCF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17C47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C5891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8A84F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BC09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DBEA0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075B7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230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67E8B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17056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B2B79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7D1F8F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5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056473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00%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9084AE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A22A15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230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3468B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0F22E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9A4D9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行业企业经历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4F60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有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F550D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无</w:t>
            </w:r>
          </w:p>
        </w:tc>
        <w:tc>
          <w:tcPr>
            <w:tcW w:w="230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2028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0AAE1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53FEB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949C0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3A6E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6856E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C7FF4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230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05B70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  <w:tr w14:paraId="3D79B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70A8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E0ACB7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A061ED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40%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E48A9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82C0CE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6%</w:t>
            </w:r>
          </w:p>
        </w:tc>
        <w:tc>
          <w:tcPr>
            <w:tcW w:w="230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E7D17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</w:tbl>
    <w:p w14:paraId="37B784B8">
      <w:pPr>
        <w:spacing w:line="400" w:lineRule="exact"/>
        <w:ind w:firstLine="420"/>
        <w:jc w:val="center"/>
        <w:rPr>
          <w:rFonts w:ascii="宋体" w:hAnsi="宋体"/>
          <w:szCs w:val="21"/>
        </w:rPr>
      </w:pPr>
    </w:p>
    <w:p w14:paraId="5706CFB1">
      <w:pPr>
        <w:spacing w:line="400" w:lineRule="exact"/>
        <w:ind w:firstLine="42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2.兼职教师</w:t>
      </w:r>
    </w:p>
    <w:p w14:paraId="04DF53BA">
      <w:pPr>
        <w:spacing w:line="400" w:lineRule="exact"/>
        <w:ind w:firstLine="42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氢能技术应用专业还聘请了企业经验丰富的兼职老师，负责本专业的部分实践教学。</w:t>
      </w:r>
    </w:p>
    <w:p w14:paraId="722A475C">
      <w:pPr>
        <w:spacing w:line="400" w:lineRule="exact"/>
        <w:ind w:firstLine="420"/>
        <w:jc w:val="center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兼职教师一览表</w:t>
      </w:r>
    </w:p>
    <w:tbl>
      <w:tblPr>
        <w:tblStyle w:val="9"/>
        <w:tblW w:w="91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133"/>
        <w:gridCol w:w="4568"/>
        <w:gridCol w:w="2802"/>
      </w:tblGrid>
      <w:tr w14:paraId="6B18B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0" w:type="dxa"/>
            <w:vAlign w:val="center"/>
          </w:tcPr>
          <w:p w14:paraId="053C285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1133" w:type="dxa"/>
            <w:vAlign w:val="center"/>
          </w:tcPr>
          <w:p w14:paraId="31B7FB1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4568" w:type="dxa"/>
            <w:vAlign w:val="center"/>
          </w:tcPr>
          <w:p w14:paraId="05D28B92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工作单位</w:t>
            </w:r>
          </w:p>
        </w:tc>
        <w:tc>
          <w:tcPr>
            <w:tcW w:w="2802" w:type="dxa"/>
            <w:vAlign w:val="center"/>
          </w:tcPr>
          <w:p w14:paraId="3517EE97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职称职务</w:t>
            </w:r>
          </w:p>
        </w:tc>
      </w:tr>
      <w:tr w14:paraId="27E1F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0" w:type="dxa"/>
            <w:vAlign w:val="center"/>
          </w:tcPr>
          <w:p w14:paraId="563B7F3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3" w:type="dxa"/>
          </w:tcPr>
          <w:p w14:paraId="0A12FC33">
            <w:pPr>
              <w:spacing w:line="4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陈平</w:t>
            </w:r>
          </w:p>
        </w:tc>
        <w:tc>
          <w:tcPr>
            <w:tcW w:w="4568" w:type="dxa"/>
          </w:tcPr>
          <w:p w14:paraId="38223D42">
            <w:pPr>
              <w:spacing w:line="4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茂名电力开发公司</w:t>
            </w:r>
          </w:p>
        </w:tc>
        <w:tc>
          <w:tcPr>
            <w:tcW w:w="2802" w:type="dxa"/>
          </w:tcPr>
          <w:p w14:paraId="0093A94C">
            <w:pPr>
              <w:spacing w:line="4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高级工程师</w:t>
            </w:r>
          </w:p>
        </w:tc>
      </w:tr>
      <w:tr w14:paraId="1EA0F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0" w:type="dxa"/>
            <w:vAlign w:val="center"/>
          </w:tcPr>
          <w:p w14:paraId="42DF8E22">
            <w:pPr>
              <w:widowControl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2</w:t>
            </w:r>
          </w:p>
        </w:tc>
        <w:tc>
          <w:tcPr>
            <w:tcW w:w="1133" w:type="dxa"/>
          </w:tcPr>
          <w:p w14:paraId="081F0BA7">
            <w:pPr>
              <w:spacing w:line="400" w:lineRule="exact"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康来</w:t>
            </w:r>
          </w:p>
        </w:tc>
        <w:tc>
          <w:tcPr>
            <w:tcW w:w="4568" w:type="dxa"/>
          </w:tcPr>
          <w:p w14:paraId="0C2E4348">
            <w:pPr>
              <w:spacing w:line="400" w:lineRule="exact"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茂名电力开发公司</w:t>
            </w:r>
          </w:p>
        </w:tc>
        <w:tc>
          <w:tcPr>
            <w:tcW w:w="2802" w:type="dxa"/>
          </w:tcPr>
          <w:p w14:paraId="46C9FC4B">
            <w:pPr>
              <w:spacing w:line="400" w:lineRule="exact"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董事长</w:t>
            </w:r>
          </w:p>
        </w:tc>
      </w:tr>
    </w:tbl>
    <w:p w14:paraId="0EF2F020">
      <w:pPr>
        <w:pStyle w:val="4"/>
        <w:keepLines w:val="0"/>
        <w:ind w:firstLine="420"/>
      </w:pPr>
      <w:r>
        <w:rPr>
          <w:rFonts w:hint="eastAsia"/>
        </w:rPr>
        <w:t>（二）教学设施</w:t>
      </w:r>
    </w:p>
    <w:p w14:paraId="6E6211B7">
      <w:pPr>
        <w:spacing w:line="420" w:lineRule="exact"/>
        <w:ind w:firstLine="420" w:firstLineChars="200"/>
        <w:rPr>
          <w:rFonts w:ascii="宋体" w:hAnsi="宋体"/>
          <w:bCs/>
          <w:position w:val="6"/>
        </w:rPr>
      </w:pPr>
      <w:r>
        <w:rPr>
          <w:rFonts w:hint="eastAsia" w:ascii="宋体" w:hAnsi="宋体"/>
          <w:bCs/>
          <w:color w:val="000000" w:themeColor="text1"/>
          <w:position w:val="6"/>
          <w14:textFill>
            <w14:solidFill>
              <w14:schemeClr w14:val="tx1"/>
            </w14:solidFill>
          </w14:textFill>
        </w:rPr>
        <w:t>本专业有校内实训基地</w:t>
      </w:r>
      <w:r>
        <w:rPr>
          <w:rFonts w:ascii="宋体" w:hAnsi="宋体"/>
          <w:bCs/>
          <w:color w:val="000000" w:themeColor="text1"/>
          <w:position w:val="6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/>
          <w:bCs/>
          <w:color w:val="000000" w:themeColor="text1"/>
          <w:position w:val="6"/>
          <w14:textFill>
            <w14:solidFill>
              <w14:schemeClr w14:val="tx1"/>
            </w14:solidFill>
          </w14:textFill>
        </w:rPr>
        <w:t>个，分别是基础化学实验室、器件制作与材料制备实验室和分析测试室。校外实训</w:t>
      </w:r>
      <w:r>
        <w:rPr>
          <w:rFonts w:hint="eastAsia" w:ascii="宋体" w:hAnsi="宋体"/>
          <w:bCs/>
          <w:position w:val="6"/>
        </w:rPr>
        <w:t>基地有</w:t>
      </w:r>
      <w:r>
        <w:rPr>
          <w:rFonts w:ascii="宋体" w:hAnsi="宋体"/>
          <w:bCs/>
          <w:position w:val="6"/>
        </w:rPr>
        <w:t>2</w:t>
      </w:r>
      <w:r>
        <w:rPr>
          <w:rFonts w:hint="eastAsia" w:ascii="宋体" w:hAnsi="宋体"/>
          <w:bCs/>
          <w:position w:val="6"/>
        </w:rPr>
        <w:t>个，分别是佛山仙湖氢谷和东华能源，可以提供学生校外真实项目实训。</w:t>
      </w:r>
    </w:p>
    <w:p w14:paraId="5E1487F6">
      <w:pPr>
        <w:spacing w:line="400" w:lineRule="exact"/>
        <w:ind w:firstLine="420"/>
        <w:jc w:val="center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校内实训基地一览表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1849"/>
        <w:gridCol w:w="1206"/>
        <w:gridCol w:w="2260"/>
        <w:gridCol w:w="1247"/>
        <w:gridCol w:w="2073"/>
      </w:tblGrid>
      <w:tr w14:paraId="026D9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7" w:type="dxa"/>
            <w:vAlign w:val="center"/>
          </w:tcPr>
          <w:p w14:paraId="7BA1573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849" w:type="dxa"/>
            <w:vAlign w:val="center"/>
          </w:tcPr>
          <w:p w14:paraId="33F94BA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实训室名称</w:t>
            </w:r>
          </w:p>
        </w:tc>
        <w:tc>
          <w:tcPr>
            <w:tcW w:w="1206" w:type="dxa"/>
            <w:vAlign w:val="center"/>
          </w:tcPr>
          <w:p w14:paraId="7A4B1FB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位置</w:t>
            </w:r>
          </w:p>
        </w:tc>
        <w:tc>
          <w:tcPr>
            <w:tcW w:w="2260" w:type="dxa"/>
            <w:vAlign w:val="center"/>
          </w:tcPr>
          <w:p w14:paraId="2778087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教学科目</w:t>
            </w:r>
          </w:p>
        </w:tc>
        <w:tc>
          <w:tcPr>
            <w:tcW w:w="1247" w:type="dxa"/>
            <w:vAlign w:val="center"/>
          </w:tcPr>
          <w:p w14:paraId="7F0FED7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实验设备</w:t>
            </w:r>
          </w:p>
        </w:tc>
        <w:tc>
          <w:tcPr>
            <w:tcW w:w="2073" w:type="dxa"/>
            <w:vAlign w:val="center"/>
          </w:tcPr>
          <w:p w14:paraId="652D6A3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教学项目</w:t>
            </w:r>
          </w:p>
        </w:tc>
      </w:tr>
      <w:tr w14:paraId="172CD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1944FF3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849" w:type="dxa"/>
            <w:vAlign w:val="center"/>
          </w:tcPr>
          <w:p w14:paraId="5F04282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基础化学实验室</w:t>
            </w:r>
          </w:p>
        </w:tc>
        <w:tc>
          <w:tcPr>
            <w:tcW w:w="1206" w:type="dxa"/>
            <w:vAlign w:val="center"/>
          </w:tcPr>
          <w:p w14:paraId="23DF770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荟-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-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112</w:t>
            </w:r>
          </w:p>
        </w:tc>
        <w:tc>
          <w:tcPr>
            <w:tcW w:w="2260" w:type="dxa"/>
            <w:vAlign w:val="center"/>
          </w:tcPr>
          <w:p w14:paraId="297A1A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《无机化学》《分析化学》《材料科学基础》《制氢技术》等</w:t>
            </w:r>
          </w:p>
        </w:tc>
        <w:tc>
          <w:tcPr>
            <w:tcW w:w="1247" w:type="dxa"/>
            <w:vAlign w:val="center"/>
          </w:tcPr>
          <w:p w14:paraId="6402692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p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H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值计、分析天平、马炥炉、烘箱高压反应釜和各种常用玻璃仪器等</w:t>
            </w:r>
          </w:p>
        </w:tc>
        <w:tc>
          <w:tcPr>
            <w:tcW w:w="2073" w:type="dxa"/>
            <w:vAlign w:val="center"/>
          </w:tcPr>
          <w:p w14:paraId="09C5F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各种基础化学实验、制氢催化剂制备、常见容量分析等。</w:t>
            </w:r>
          </w:p>
        </w:tc>
      </w:tr>
      <w:tr w14:paraId="6D1FD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52968EF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849" w:type="dxa"/>
            <w:vAlign w:val="center"/>
          </w:tcPr>
          <w:p w14:paraId="1C27600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器件制作与材料制备实验室</w:t>
            </w:r>
          </w:p>
        </w:tc>
        <w:tc>
          <w:tcPr>
            <w:tcW w:w="1206" w:type="dxa"/>
            <w:vAlign w:val="center"/>
          </w:tcPr>
          <w:p w14:paraId="23F58C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荟-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-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109</w:t>
            </w:r>
          </w:p>
        </w:tc>
        <w:tc>
          <w:tcPr>
            <w:tcW w:w="2260" w:type="dxa"/>
            <w:vAlign w:val="center"/>
          </w:tcPr>
          <w:p w14:paraId="70DC66D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《金属学原理》《燃料电池化学》《工程热物理》等</w:t>
            </w:r>
          </w:p>
        </w:tc>
        <w:tc>
          <w:tcPr>
            <w:tcW w:w="1247" w:type="dxa"/>
            <w:vAlign w:val="center"/>
          </w:tcPr>
          <w:p w14:paraId="1A45313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器件制作关涉到的各种工具与设施</w:t>
            </w:r>
          </w:p>
        </w:tc>
        <w:tc>
          <w:tcPr>
            <w:tcW w:w="2073" w:type="dxa"/>
            <w:vAlign w:val="center"/>
          </w:tcPr>
          <w:p w14:paraId="5EB3A93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各种材料制备、燃料电池的设计与组装</w:t>
            </w:r>
          </w:p>
        </w:tc>
      </w:tr>
      <w:tr w14:paraId="0B9B2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7FE7840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849" w:type="dxa"/>
            <w:vAlign w:val="center"/>
          </w:tcPr>
          <w:p w14:paraId="120A6B1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分析测试室</w:t>
            </w:r>
          </w:p>
        </w:tc>
        <w:tc>
          <w:tcPr>
            <w:tcW w:w="1206" w:type="dxa"/>
            <w:vAlign w:val="center"/>
          </w:tcPr>
          <w:p w14:paraId="068FFE2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荟-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-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109</w:t>
            </w:r>
          </w:p>
        </w:tc>
        <w:tc>
          <w:tcPr>
            <w:tcW w:w="2260" w:type="dxa"/>
            <w:vAlign w:val="center"/>
          </w:tcPr>
          <w:p w14:paraId="5428380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各种分析测试</w:t>
            </w:r>
          </w:p>
        </w:tc>
        <w:tc>
          <w:tcPr>
            <w:tcW w:w="1247" w:type="dxa"/>
            <w:vAlign w:val="center"/>
          </w:tcPr>
          <w:p w14:paraId="10E2251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显微镜、扫描电子显微镜、高效液相色谱、比表面分析等</w:t>
            </w:r>
          </w:p>
        </w:tc>
        <w:tc>
          <w:tcPr>
            <w:tcW w:w="2073" w:type="dxa"/>
            <w:vAlign w:val="center"/>
          </w:tcPr>
          <w:p w14:paraId="3ADD0C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各种仪器分析</w:t>
            </w:r>
          </w:p>
        </w:tc>
      </w:tr>
      <w:tr w14:paraId="1EAAB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1FC02DC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849" w:type="dxa"/>
            <w:vAlign w:val="center"/>
          </w:tcPr>
          <w:p w14:paraId="7247DF7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06" w:type="dxa"/>
            <w:vAlign w:val="center"/>
          </w:tcPr>
          <w:p w14:paraId="45211AB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60" w:type="dxa"/>
            <w:vAlign w:val="center"/>
          </w:tcPr>
          <w:p w14:paraId="33FC608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024DCB3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73" w:type="dxa"/>
            <w:vAlign w:val="center"/>
          </w:tcPr>
          <w:p w14:paraId="7362229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</w:tbl>
    <w:p w14:paraId="1B4D4499">
      <w:pPr>
        <w:spacing w:line="420" w:lineRule="exact"/>
        <w:ind w:left="420"/>
        <w:jc w:val="center"/>
        <w:rPr>
          <w:rFonts w:ascii="宋体" w:hAnsi="宋体"/>
          <w:b/>
          <w:bCs/>
          <w:position w:val="6"/>
        </w:rPr>
      </w:pPr>
      <w:r>
        <w:rPr>
          <w:rFonts w:hint="eastAsia" w:ascii="宋体" w:hAnsi="宋体"/>
          <w:b/>
          <w:bCs/>
          <w:position w:val="6"/>
        </w:rPr>
        <w:t>校外实训基地一览表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733"/>
        <w:gridCol w:w="5867"/>
      </w:tblGrid>
      <w:tr w14:paraId="518D1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7" w:type="dxa"/>
            <w:vAlign w:val="center"/>
          </w:tcPr>
          <w:p w14:paraId="4D696E15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2733" w:type="dxa"/>
            <w:vAlign w:val="center"/>
          </w:tcPr>
          <w:p w14:paraId="7167D29B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名称/合作企业</w:t>
            </w:r>
          </w:p>
        </w:tc>
        <w:tc>
          <w:tcPr>
            <w:tcW w:w="5867" w:type="dxa"/>
            <w:vAlign w:val="center"/>
          </w:tcPr>
          <w:p w14:paraId="06FD93B5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主要实训内容</w:t>
            </w:r>
          </w:p>
        </w:tc>
      </w:tr>
      <w:tr w14:paraId="702FA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1C0C1BCA">
            <w:pPr>
              <w:jc w:val="center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1</w:t>
            </w:r>
          </w:p>
        </w:tc>
        <w:tc>
          <w:tcPr>
            <w:tcW w:w="2733" w:type="dxa"/>
            <w:vAlign w:val="center"/>
          </w:tcPr>
          <w:p w14:paraId="48AB53B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广东环华氢能科技有限公司</w:t>
            </w:r>
          </w:p>
        </w:tc>
        <w:tc>
          <w:tcPr>
            <w:tcW w:w="5867" w:type="dxa"/>
            <w:vAlign w:val="center"/>
          </w:tcPr>
          <w:p w14:paraId="6544D03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制氢与氢液化，氢电池生产、组装与检测等</w:t>
            </w:r>
          </w:p>
        </w:tc>
      </w:tr>
      <w:tr w14:paraId="4CD7A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2ECD2DD7">
            <w:pPr>
              <w:spacing w:line="360" w:lineRule="auto"/>
              <w:jc w:val="center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2</w:t>
            </w:r>
          </w:p>
        </w:tc>
        <w:tc>
          <w:tcPr>
            <w:tcW w:w="2733" w:type="dxa"/>
            <w:vAlign w:val="center"/>
          </w:tcPr>
          <w:p w14:paraId="20CD6F80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上海攀业氢能有限公司（佛山）</w:t>
            </w:r>
          </w:p>
        </w:tc>
        <w:tc>
          <w:tcPr>
            <w:tcW w:w="5867" w:type="dxa"/>
            <w:vAlign w:val="center"/>
          </w:tcPr>
          <w:p w14:paraId="5FE7C16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燃料电池生产、检测与安装等</w:t>
            </w:r>
          </w:p>
        </w:tc>
      </w:tr>
    </w:tbl>
    <w:p w14:paraId="65967B80">
      <w:pPr>
        <w:pStyle w:val="4"/>
        <w:keepLines w:val="0"/>
        <w:ind w:firstLine="420"/>
      </w:pPr>
      <w:r>
        <w:rPr>
          <w:rFonts w:hint="eastAsia"/>
        </w:rPr>
        <w:t>（三）教学资源</w:t>
      </w:r>
    </w:p>
    <w:p w14:paraId="3D3D5FCB">
      <w:pPr>
        <w:spacing w:line="400" w:lineRule="exact"/>
        <w:ind w:firstLine="420"/>
        <w:rPr>
          <w:rFonts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/>
        </w:rPr>
        <w:t>教学资源主要包括能满足学生专业学习、教师专业教学研究和教学实施的教材、图书文献及数字资源等。</w:t>
      </w:r>
    </w:p>
    <w:p w14:paraId="7B420779">
      <w:pPr>
        <w:numPr>
          <w:ilvl w:val="0"/>
          <w:numId w:val="3"/>
        </w:numPr>
        <w:spacing w:line="400" w:lineRule="exact"/>
        <w:ind w:firstLine="420"/>
        <w:rPr>
          <w:rFonts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>教材选用有关基本要求：要有教材选用制度，优先从国家和省两级规划教材目录中选用教材，鼓励与行业企业合作开发特色鲜明的专业课校本教材。</w:t>
      </w:r>
    </w:p>
    <w:p w14:paraId="7F2E16D9">
      <w:pPr>
        <w:numPr>
          <w:ilvl w:val="0"/>
          <w:numId w:val="3"/>
        </w:numPr>
        <w:spacing w:line="400" w:lineRule="exact"/>
        <w:ind w:firstLine="420"/>
        <w:rPr>
          <w:rFonts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>图书配备有关基本要求：要有足够数量的，能满足教师学习、教师专业教学研究和教学实施的图书库。</w:t>
      </w:r>
    </w:p>
    <w:p w14:paraId="14E48EA2">
      <w:pPr>
        <w:numPr>
          <w:ilvl w:val="0"/>
          <w:numId w:val="3"/>
        </w:numPr>
        <w:spacing w:line="400" w:lineRule="exact"/>
        <w:ind w:firstLine="420"/>
        <w:rPr>
          <w:rFonts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>数字资源配备有关基本要求：逐步建成课程资源库、精品课资源库、专业特色专题库、专业试卷库、专业图片库、专业视频动画库、专业合作企业库、真实项目资源库等数字资源。</w:t>
      </w:r>
    </w:p>
    <w:p w14:paraId="18036AE2">
      <w:pPr>
        <w:pStyle w:val="3"/>
        <w:keepLines w:val="0"/>
      </w:pPr>
      <w:r>
        <w:rPr>
          <w:rFonts w:hint="eastAsia"/>
        </w:rPr>
        <w:t>十、质量保障</w:t>
      </w:r>
    </w:p>
    <w:p w14:paraId="75481912">
      <w:p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（一）需遵循专业建设和教学过程质量监控机制，主要课程以企业标准进行课程评价，对教学主要环节要有严格的质量要求和标准，对教学实施、过程监控、质量评价要进行有效的管理，以达成人才培养规格。</w:t>
      </w:r>
    </w:p>
    <w:p w14:paraId="14009A78">
      <w:pPr>
        <w:spacing w:line="400" w:lineRule="exact"/>
        <w:ind w:firstLine="421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本专业尝试“学分替换”制改革。所谓“学分替换”制，是指学生可以通过参与实际项目开发、相关竞赛等方式来替换非核心课程的学分。学生可以通过参加考证、项目开发、职业技能大赛、发明创造等来获取并替换课程学分，从而可以申请免修相关的课程。“学分替换”的实施需要预先申请，需根据比赛及项目的内容而确定可替换哪门课程，在经过专业考核通过之后，方可免修并替换相关课程学分。总替换学分不超过20学分。</w:t>
      </w:r>
    </w:p>
    <w:p w14:paraId="2AE80471">
      <w:pPr>
        <w:spacing w:line="400" w:lineRule="exact"/>
        <w:ind w:firstLine="421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其中，学分替换规则如下表所示：</w:t>
      </w:r>
    </w:p>
    <w:tbl>
      <w:tblPr>
        <w:tblStyle w:val="9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2"/>
        <w:gridCol w:w="1938"/>
        <w:gridCol w:w="6258"/>
      </w:tblGrid>
      <w:tr w14:paraId="23A11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40" w:type="dxa"/>
            <w:gridSpan w:val="2"/>
            <w:vAlign w:val="center"/>
          </w:tcPr>
          <w:p w14:paraId="68D2BF0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类别</w:t>
            </w:r>
          </w:p>
        </w:tc>
        <w:tc>
          <w:tcPr>
            <w:tcW w:w="6258" w:type="dxa"/>
            <w:vAlign w:val="center"/>
          </w:tcPr>
          <w:p w14:paraId="1E0BB20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可替换学分</w:t>
            </w:r>
          </w:p>
        </w:tc>
      </w:tr>
      <w:tr w14:paraId="5E70B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restart"/>
            <w:vAlign w:val="center"/>
          </w:tcPr>
          <w:p w14:paraId="056BA026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技能竞赛类</w:t>
            </w:r>
          </w:p>
        </w:tc>
        <w:tc>
          <w:tcPr>
            <w:tcW w:w="1938" w:type="dxa"/>
            <w:vAlign w:val="center"/>
          </w:tcPr>
          <w:p w14:paraId="28CE718C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教育行政主管部门组织的竞赛</w:t>
            </w:r>
          </w:p>
        </w:tc>
        <w:tc>
          <w:tcPr>
            <w:tcW w:w="6258" w:type="dxa"/>
            <w:vAlign w:val="center"/>
          </w:tcPr>
          <w:p w14:paraId="30BCAC29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市级三等奖、二等奖、一等奖、特等奖可分别替换0.5学分、1学分、2学分、3学分；省级优秀奖、三等奖、二等奖、一等奖、特等奖可分别替换2学分、3学分、4学分、5学分、6学分；国家级优秀奖、三等奖、二等奖、一等奖、特等奖可分别替换5学分、6学分、7学分、8学分、9学分。</w:t>
            </w:r>
          </w:p>
        </w:tc>
      </w:tr>
      <w:tr w14:paraId="6412A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continue"/>
            <w:vAlign w:val="center"/>
          </w:tcPr>
          <w:p w14:paraId="285BA2B7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76387A0C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其他行业协会或社会组织的竞赛</w:t>
            </w:r>
          </w:p>
        </w:tc>
        <w:tc>
          <w:tcPr>
            <w:tcW w:w="6258" w:type="dxa"/>
            <w:vAlign w:val="center"/>
          </w:tcPr>
          <w:p w14:paraId="580231B0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市级一等奖、特等奖可分别替换0.5学分、1学分；省级优秀奖、三等奖、二等奖、一等奖、特等奖可分别替换1学分、2学分、3学分、4学分、5学分；国家级优秀奖、三等奖、二等奖、一等奖、特等奖可分别替换4学分、5学分、6学分、7学分、8学分</w:t>
            </w:r>
          </w:p>
        </w:tc>
      </w:tr>
      <w:tr w14:paraId="2BFFA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continue"/>
            <w:vAlign w:val="center"/>
          </w:tcPr>
          <w:p w14:paraId="2CE7E167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78FF3A4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校级竞赛</w:t>
            </w:r>
          </w:p>
        </w:tc>
        <w:tc>
          <w:tcPr>
            <w:tcW w:w="6258" w:type="dxa"/>
            <w:vAlign w:val="center"/>
          </w:tcPr>
          <w:p w14:paraId="760BC8B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校级技能竞赛一等奖以上可替换0.5学分</w:t>
            </w:r>
          </w:p>
        </w:tc>
      </w:tr>
      <w:tr w14:paraId="2352E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restart"/>
            <w:vAlign w:val="center"/>
          </w:tcPr>
          <w:p w14:paraId="2586EFDA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项目开发类</w:t>
            </w:r>
          </w:p>
        </w:tc>
        <w:tc>
          <w:tcPr>
            <w:tcW w:w="1938" w:type="dxa"/>
            <w:vAlign w:val="center"/>
          </w:tcPr>
          <w:p w14:paraId="1BF9574A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自主实施的项目开发</w:t>
            </w:r>
          </w:p>
        </w:tc>
        <w:tc>
          <w:tcPr>
            <w:tcW w:w="6258" w:type="dxa"/>
            <w:vAlign w:val="center"/>
          </w:tcPr>
          <w:p w14:paraId="255C4D49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提供合作企业证明文件、工商登记证明等有效证明文件由专业负责人认定可替换学分,每学期累计不得超过8学分。</w:t>
            </w:r>
          </w:p>
        </w:tc>
      </w:tr>
      <w:tr w14:paraId="3FFBA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continue"/>
            <w:vAlign w:val="center"/>
          </w:tcPr>
          <w:p w14:paraId="641CB2B2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18F3CFEA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参与老师组织的项目开发</w:t>
            </w:r>
          </w:p>
        </w:tc>
        <w:tc>
          <w:tcPr>
            <w:tcW w:w="6258" w:type="dxa"/>
            <w:vAlign w:val="center"/>
          </w:tcPr>
          <w:p w14:paraId="7F6EC9BB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参与老师组织的项目开发，由专业负责人和项目主持老师认定可替换学分，原则上参加2周替换1学分。</w:t>
            </w:r>
          </w:p>
        </w:tc>
      </w:tr>
      <w:tr w14:paraId="40738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Align w:val="center"/>
          </w:tcPr>
          <w:p w14:paraId="7C9A0BA5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职业资格证书类</w:t>
            </w:r>
          </w:p>
        </w:tc>
        <w:tc>
          <w:tcPr>
            <w:tcW w:w="1938" w:type="dxa"/>
            <w:vAlign w:val="center"/>
          </w:tcPr>
          <w:p w14:paraId="11D1167E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人力资源和社会保障系统职业资格证书</w:t>
            </w:r>
          </w:p>
        </w:tc>
        <w:tc>
          <w:tcPr>
            <w:tcW w:w="6258" w:type="dxa"/>
            <w:vAlign w:val="center"/>
          </w:tcPr>
          <w:p w14:paraId="0D952AF5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取得中级工可替换1学分，高级工可替换2学分，技师级可替换6学分</w:t>
            </w:r>
          </w:p>
        </w:tc>
      </w:tr>
      <w:tr w14:paraId="22F4D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restart"/>
            <w:vAlign w:val="center"/>
          </w:tcPr>
          <w:p w14:paraId="73BE33A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发明专利类</w:t>
            </w:r>
          </w:p>
        </w:tc>
        <w:tc>
          <w:tcPr>
            <w:tcW w:w="1938" w:type="dxa"/>
            <w:vAlign w:val="center"/>
          </w:tcPr>
          <w:p w14:paraId="7D80C931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发明专利</w:t>
            </w:r>
          </w:p>
        </w:tc>
        <w:tc>
          <w:tcPr>
            <w:tcW w:w="6258" w:type="dxa"/>
            <w:vAlign w:val="center"/>
          </w:tcPr>
          <w:p w14:paraId="5EFC209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发明专利</w:t>
            </w:r>
            <w:r>
              <w:rPr>
                <w:rFonts w:hint="eastAsia" w:ascii="宋体" w:hAnsi="宋体"/>
                <w:sz w:val="18"/>
                <w:szCs w:val="18"/>
              </w:rPr>
              <w:t>可替换8学分</w:t>
            </w:r>
          </w:p>
        </w:tc>
      </w:tr>
      <w:tr w14:paraId="3E97E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continue"/>
          </w:tcPr>
          <w:p w14:paraId="17F3A963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2948931E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实用新型专利</w:t>
            </w:r>
          </w:p>
        </w:tc>
        <w:tc>
          <w:tcPr>
            <w:tcW w:w="6258" w:type="dxa"/>
            <w:vAlign w:val="center"/>
          </w:tcPr>
          <w:p w14:paraId="5CE1B6B6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实用新型专利</w:t>
            </w:r>
            <w:r>
              <w:rPr>
                <w:rFonts w:hint="eastAsia" w:ascii="宋体" w:hAnsi="宋体"/>
                <w:sz w:val="18"/>
                <w:szCs w:val="18"/>
              </w:rPr>
              <w:t>可替换6学分</w:t>
            </w:r>
          </w:p>
        </w:tc>
      </w:tr>
      <w:tr w14:paraId="580FF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continue"/>
          </w:tcPr>
          <w:p w14:paraId="1D4FA0E7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686D34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外观设计专利</w:t>
            </w:r>
          </w:p>
        </w:tc>
        <w:tc>
          <w:tcPr>
            <w:tcW w:w="6258" w:type="dxa"/>
            <w:vAlign w:val="center"/>
          </w:tcPr>
          <w:p w14:paraId="2A184F7B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外观设计专利</w:t>
            </w:r>
            <w:r>
              <w:rPr>
                <w:rFonts w:hint="eastAsia" w:ascii="宋体" w:hAnsi="宋体"/>
                <w:sz w:val="18"/>
                <w:szCs w:val="18"/>
              </w:rPr>
              <w:t>可替换4学分</w:t>
            </w:r>
          </w:p>
        </w:tc>
      </w:tr>
    </w:tbl>
    <w:p w14:paraId="38C2C37A">
      <w:pPr>
        <w:spacing w:line="400" w:lineRule="exact"/>
        <w:ind w:firstLine="421"/>
        <w:rPr>
          <w:rFonts w:ascii="宋体" w:hAnsi="宋体"/>
          <w:bCs/>
          <w:szCs w:val="21"/>
        </w:rPr>
      </w:pPr>
    </w:p>
    <w:p w14:paraId="1077C2B6">
      <w:p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二）学校和学院建立健全教学管理机制，加强日常教学组织运行与管理，定期开展课程建设水平和教学质量诊断与改进，建立健全巡课、听课、评教、评学等制度，建立与企业联动的实践教学环节督导制度，严明教学纪律和课堂纪律，强化教学组织功能，定期开展公开课、示范课等教研活动。</w:t>
      </w:r>
    </w:p>
    <w:p w14:paraId="78374FC9">
      <w:p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（三）建立毕业生跟踪反馈机制及社会评价机制，并对生源情况、在校生学业水平、毕业生就业情况等进行分析，定期评价人才培养质量和培养目标达成情况。</w:t>
      </w:r>
    </w:p>
    <w:p w14:paraId="6E5FB155">
      <w:p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（四）专业教研组织利用评价分析结果有效改进专业教学，加强专业建设，持续提高人才培养质量。</w:t>
      </w:r>
    </w:p>
    <w:p w14:paraId="12DD82CA">
      <w:pPr>
        <w:spacing w:line="400" w:lineRule="exact"/>
        <w:ind w:firstLine="421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Cs/>
          <w:szCs w:val="21"/>
        </w:rPr>
        <w:t>（五）校企合作模式，企业工程师讲授专业选修课，保证课程知识点与企业一线需求紧密相连，通过多种教学评价机制，保证课程教学质量。</w:t>
      </w:r>
    </w:p>
    <w:p w14:paraId="478D806C">
      <w:pPr>
        <w:pStyle w:val="3"/>
        <w:keepLines w:val="0"/>
      </w:pPr>
      <w:r>
        <w:rPr>
          <w:rFonts w:hint="eastAsia"/>
        </w:rPr>
        <w:t>十一、教学进程安排</w:t>
      </w:r>
    </w:p>
    <w:p w14:paraId="05AFCF11">
      <w:pPr>
        <w:spacing w:line="400" w:lineRule="exact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1.理论与实践教学分配及比例表（见附件1－1）</w:t>
      </w:r>
    </w:p>
    <w:p w14:paraId="39A6ED29">
      <w:pPr>
        <w:spacing w:line="400" w:lineRule="exact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2.综合素质课教学进程表（见附件1－2）</w:t>
      </w:r>
    </w:p>
    <w:p w14:paraId="3037629E">
      <w:pPr>
        <w:spacing w:line="400" w:lineRule="exact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3.专业课教学进程表（见附件1－3）</w:t>
      </w:r>
    </w:p>
    <w:p w14:paraId="1882D130">
      <w:pPr>
        <w:spacing w:line="400" w:lineRule="exact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4.实践课教学进程表（见附件1－4）</w:t>
      </w:r>
    </w:p>
    <w:p w14:paraId="3FE0713E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szCs w:val="21"/>
        </w:rPr>
      </w:pPr>
    </w:p>
    <w:p w14:paraId="755F1D97">
      <w:pPr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br w:type="page"/>
      </w:r>
    </w:p>
    <w:p w14:paraId="7B2F850F">
      <w:pPr>
        <w:adjustRightInd w:val="0"/>
        <w:snapToGrid w:val="0"/>
        <w:spacing w:line="360" w:lineRule="auto"/>
        <w:jc w:val="left"/>
        <w:outlineLvl w:val="1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附件1-</w:t>
      </w:r>
      <w:r>
        <w:rPr>
          <w:rFonts w:ascii="宋体" w:hAnsi="宋体"/>
          <w:b/>
          <w:bCs/>
          <w:szCs w:val="21"/>
        </w:rPr>
        <w:t>1</w:t>
      </w:r>
      <w:r>
        <w:rPr>
          <w:rFonts w:hint="eastAsia" w:ascii="宋体" w:hAnsi="宋体"/>
          <w:b/>
          <w:bCs/>
          <w:szCs w:val="21"/>
        </w:rPr>
        <w:t xml:space="preserve"> </w:t>
      </w:r>
      <w:r>
        <w:rPr>
          <w:rFonts w:hint="eastAsia" w:ascii="宋体" w:hAnsi="宋体"/>
          <w:bCs/>
          <w:szCs w:val="21"/>
        </w:rPr>
        <w:t>理论与实践教学分配及比例表</w:t>
      </w:r>
    </w:p>
    <w:p w14:paraId="2CEAD586">
      <w:pPr>
        <w:adjustRightInd w:val="0"/>
        <w:snapToGrid w:val="0"/>
        <w:spacing w:line="360" w:lineRule="auto"/>
        <w:rPr>
          <w:rFonts w:hint="eastAsia" w:ascii="宋体" w:hAnsi="宋体" w:eastAsia="宋体"/>
          <w:b/>
          <w:bCs/>
          <w:szCs w:val="21"/>
          <w:lang w:eastAsia="zh-CN"/>
        </w:rPr>
      </w:pPr>
      <w:r>
        <w:rPr>
          <w:rFonts w:hint="eastAsia" w:ascii="宋体" w:hAnsi="宋体" w:eastAsia="宋体"/>
          <w:b/>
          <w:bCs/>
          <w:szCs w:val="21"/>
          <w:lang w:eastAsia="zh-CN"/>
        </w:rPr>
        <w:drawing>
          <wp:inline distT="0" distB="0" distL="114300" distR="114300">
            <wp:extent cx="5779135" cy="3258820"/>
            <wp:effectExtent l="0" t="0" r="0" b="0"/>
            <wp:docPr id="2" name="图片 2" descr="光伏材料制备技术 教学计划表（新）_附件3-3理论与实践教学分配比例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光伏材料制备技术 教学计划表（新）_附件3-3理论与实践教学分配比例表"/>
                    <pic:cNvPicPr>
                      <a:picLocks noChangeAspect="1"/>
                    </pic:cNvPicPr>
                  </pic:nvPicPr>
                  <pic:blipFill>
                    <a:blip r:embed="rId7"/>
                    <a:srcRect r="10344" b="10499"/>
                    <a:stretch>
                      <a:fillRect/>
                    </a:stretch>
                  </pic:blipFill>
                  <pic:spPr>
                    <a:xfrm>
                      <a:off x="0" y="0"/>
                      <a:ext cx="5779135" cy="325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87D7D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szCs w:val="21"/>
        </w:rPr>
      </w:pPr>
    </w:p>
    <w:p w14:paraId="288A49B1">
      <w:pPr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br w:type="page"/>
      </w:r>
    </w:p>
    <w:p w14:paraId="7F2590B2">
      <w:pPr>
        <w:adjustRightInd w:val="0"/>
        <w:snapToGrid w:val="0"/>
        <w:spacing w:line="360" w:lineRule="auto"/>
        <w:jc w:val="left"/>
        <w:outlineLvl w:val="1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 xml:space="preserve">附件1-2 </w:t>
      </w:r>
      <w:r>
        <w:rPr>
          <w:rFonts w:hint="eastAsia" w:ascii="宋体" w:hAnsi="宋体"/>
          <w:bCs/>
          <w:szCs w:val="21"/>
        </w:rPr>
        <w:t>综合素质课教学进程表</w:t>
      </w:r>
    </w:p>
    <w:p w14:paraId="7949AA73">
      <w:pPr>
        <w:adjustRightInd w:val="0"/>
        <w:snapToGrid w:val="0"/>
        <w:spacing w:line="360" w:lineRule="auto"/>
        <w:jc w:val="center"/>
        <w:outlineLvl w:val="1"/>
        <w:rPr>
          <w:rFonts w:hint="eastAsia" w:ascii="宋体" w:hAnsi="宋体" w:eastAsia="宋体"/>
          <w:b/>
          <w:bCs/>
          <w:szCs w:val="21"/>
          <w:lang w:eastAsia="zh-CN"/>
        </w:rPr>
      </w:pPr>
      <w:r>
        <w:rPr>
          <w:rFonts w:hint="eastAsia" w:ascii="宋体" w:hAnsi="宋体" w:eastAsia="宋体"/>
          <w:b/>
          <w:bCs/>
          <w:szCs w:val="21"/>
          <w:lang w:eastAsia="zh-CN"/>
        </w:rPr>
        <w:drawing>
          <wp:inline distT="0" distB="0" distL="114300" distR="114300">
            <wp:extent cx="5367655" cy="8576310"/>
            <wp:effectExtent l="0" t="0" r="0" b="0"/>
            <wp:docPr id="3" name="图片 3" descr="光伏材料制备技术 教学计划表（新）_附件3 综合素质课教学计划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光伏材料制备技术 教学计划表（新）_附件3 综合素质课教学计划表"/>
                    <pic:cNvPicPr>
                      <a:picLocks noChangeAspect="1"/>
                    </pic:cNvPicPr>
                  </pic:nvPicPr>
                  <pic:blipFill>
                    <a:blip r:embed="rId8"/>
                    <a:srcRect b="6234"/>
                    <a:stretch>
                      <a:fillRect/>
                    </a:stretch>
                  </pic:blipFill>
                  <pic:spPr>
                    <a:xfrm>
                      <a:off x="0" y="0"/>
                      <a:ext cx="5367655" cy="857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A38B0">
      <w:pPr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br w:type="page"/>
      </w:r>
    </w:p>
    <w:p w14:paraId="49B6DA17">
      <w:pPr>
        <w:adjustRightInd w:val="0"/>
        <w:snapToGrid w:val="0"/>
        <w:spacing w:line="360" w:lineRule="auto"/>
        <w:jc w:val="left"/>
        <w:outlineLvl w:val="1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 xml:space="preserve">附件1-3 </w:t>
      </w:r>
      <w:r>
        <w:rPr>
          <w:rFonts w:hint="eastAsia" w:ascii="宋体" w:hAnsi="宋体"/>
          <w:bCs/>
          <w:szCs w:val="21"/>
        </w:rPr>
        <w:t>专业课教学进程表</w:t>
      </w:r>
    </w:p>
    <w:p w14:paraId="3C5C21FC">
      <w:pPr>
        <w:adjustRightInd w:val="0"/>
        <w:snapToGrid w:val="0"/>
        <w:spacing w:line="360" w:lineRule="auto"/>
        <w:jc w:val="center"/>
        <w:rPr>
          <w:rFonts w:hint="eastAsia" w:ascii="宋体" w:hAnsi="宋体" w:eastAsia="宋体"/>
          <w:b/>
          <w:bCs/>
          <w:szCs w:val="21"/>
          <w:lang w:eastAsia="zh-CN"/>
        </w:rPr>
      </w:pPr>
      <w:r>
        <w:rPr>
          <w:rFonts w:hint="eastAsia" w:ascii="宋体" w:hAnsi="宋体" w:eastAsia="宋体"/>
          <w:b/>
          <w:bCs/>
          <w:szCs w:val="21"/>
          <w:lang w:eastAsia="zh-CN"/>
        </w:rPr>
        <w:drawing>
          <wp:inline distT="0" distB="0" distL="114300" distR="114300">
            <wp:extent cx="5441950" cy="4814570"/>
            <wp:effectExtent l="0" t="0" r="6350" b="11430"/>
            <wp:docPr id="4" name="图片 4" descr="光伏材料制备技术 教学计划表（新）_附件3-1专业课教学计划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光伏材料制备技术 教学计划表（新）_附件3-1专业课教学计划表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41950" cy="481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BE6DA">
      <w:r>
        <w:br w:type="page"/>
      </w:r>
    </w:p>
    <w:p w14:paraId="686B4F18">
      <w:pPr>
        <w:adjustRightInd w:val="0"/>
        <w:snapToGrid w:val="0"/>
        <w:spacing w:line="360" w:lineRule="auto"/>
        <w:jc w:val="left"/>
        <w:outlineLvl w:val="1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附件1-</w:t>
      </w:r>
      <w:r>
        <w:rPr>
          <w:rFonts w:ascii="宋体" w:hAnsi="宋体"/>
          <w:b/>
          <w:bCs/>
          <w:szCs w:val="21"/>
        </w:rPr>
        <w:t>4</w:t>
      </w:r>
      <w:r>
        <w:rPr>
          <w:rFonts w:hint="eastAsia" w:ascii="宋体" w:hAnsi="宋体"/>
          <w:b/>
          <w:bCs/>
          <w:szCs w:val="21"/>
        </w:rPr>
        <w:t xml:space="preserve"> </w:t>
      </w:r>
      <w:r>
        <w:rPr>
          <w:rFonts w:hint="eastAsia" w:ascii="宋体" w:hAnsi="宋体"/>
          <w:bCs/>
          <w:szCs w:val="21"/>
        </w:rPr>
        <w:t>实践课教学进程表</w:t>
      </w:r>
    </w:p>
    <w:p w14:paraId="24601A54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drawing>
          <wp:inline distT="0" distB="0" distL="0" distR="0">
            <wp:extent cx="6007100" cy="1668780"/>
            <wp:effectExtent l="0" t="0" r="0" b="0"/>
            <wp:docPr id="116952115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521154" name="图片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914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17ACB">
      <w:pPr>
        <w:adjustRightInd w:val="0"/>
        <w:snapToGrid w:val="0"/>
        <w:spacing w:line="360" w:lineRule="auto"/>
        <w:rPr>
          <w:rFonts w:ascii="宋体" w:hAnsi="宋体"/>
          <w:b/>
          <w:bCs/>
          <w:szCs w:val="21"/>
        </w:rPr>
      </w:pPr>
    </w:p>
    <w:p w14:paraId="33FADDD5">
      <w:pPr>
        <w:adjustRightInd w:val="0"/>
        <w:snapToGrid w:val="0"/>
        <w:spacing w:line="360" w:lineRule="auto"/>
        <w:rPr>
          <w:rFonts w:ascii="宋体" w:hAnsi="宋体"/>
          <w:b/>
          <w:bCs/>
          <w:szCs w:val="21"/>
        </w:rPr>
      </w:pPr>
    </w:p>
    <w:p w14:paraId="5DBB10D5">
      <w:pPr>
        <w:adjustRightInd w:val="0"/>
        <w:snapToGrid w:val="0"/>
        <w:spacing w:line="360" w:lineRule="auto"/>
        <w:rPr>
          <w:rFonts w:ascii="宋体" w:hAnsi="宋体"/>
          <w:b/>
          <w:bCs/>
          <w:szCs w:val="21"/>
        </w:rPr>
      </w:pPr>
    </w:p>
    <w:sectPr>
      <w:footerReference r:id="rId5" w:type="default"/>
      <w:pgSz w:w="11906" w:h="16838"/>
      <w:pgMar w:top="1417" w:right="1247" w:bottom="1417" w:left="1247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DA7A4F">
    <w:pPr>
      <w:pStyle w:val="6"/>
      <w:jc w:val="center"/>
    </w:pPr>
  </w:p>
  <w:p w14:paraId="128B8F06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4E45FE">
    <w:pPr>
      <w:pStyle w:val="6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end"/>
    </w:r>
  </w:p>
  <w:p w14:paraId="67325045">
    <w:pPr>
      <w:pStyle w:val="6"/>
    </w:pPr>
  </w:p>
  <w:p w14:paraId="7E9DF338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66345358"/>
    </w:sdtPr>
    <w:sdtContent>
      <w:p w14:paraId="13ADD940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6EFAF702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96F662"/>
    <w:multiLevelType w:val="singleLevel"/>
    <w:tmpl w:val="F396F662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1E7A6D68"/>
    <w:multiLevelType w:val="multilevel"/>
    <w:tmpl w:val="1E7A6D68"/>
    <w:lvl w:ilvl="0" w:tentative="0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59197911"/>
    <w:multiLevelType w:val="singleLevel"/>
    <w:tmpl w:val="59197911"/>
    <w:lvl w:ilvl="0" w:tentative="0">
      <w:start w:val="1"/>
      <w:numFmt w:val="decimal"/>
      <w:suff w:val="nothing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74C"/>
    <w:rsid w:val="0000374C"/>
    <w:rsid w:val="0002145C"/>
    <w:rsid w:val="00056410"/>
    <w:rsid w:val="00080396"/>
    <w:rsid w:val="000B32B3"/>
    <w:rsid w:val="000D4906"/>
    <w:rsid w:val="000F0BBD"/>
    <w:rsid w:val="000F4257"/>
    <w:rsid w:val="00104D78"/>
    <w:rsid w:val="00137827"/>
    <w:rsid w:val="0018207D"/>
    <w:rsid w:val="00207C41"/>
    <w:rsid w:val="00210CBC"/>
    <w:rsid w:val="002D1EB5"/>
    <w:rsid w:val="002D5CBF"/>
    <w:rsid w:val="00383AC9"/>
    <w:rsid w:val="00387013"/>
    <w:rsid w:val="003870C7"/>
    <w:rsid w:val="00396300"/>
    <w:rsid w:val="003D2879"/>
    <w:rsid w:val="004021BF"/>
    <w:rsid w:val="004259A5"/>
    <w:rsid w:val="00433212"/>
    <w:rsid w:val="00495F34"/>
    <w:rsid w:val="004B238E"/>
    <w:rsid w:val="004E11E8"/>
    <w:rsid w:val="00512169"/>
    <w:rsid w:val="00524BF5"/>
    <w:rsid w:val="005A2CC8"/>
    <w:rsid w:val="005A6CE1"/>
    <w:rsid w:val="005C0109"/>
    <w:rsid w:val="005D31CD"/>
    <w:rsid w:val="005E1795"/>
    <w:rsid w:val="005E3732"/>
    <w:rsid w:val="0060152A"/>
    <w:rsid w:val="006070E8"/>
    <w:rsid w:val="00633F37"/>
    <w:rsid w:val="00651883"/>
    <w:rsid w:val="006845E9"/>
    <w:rsid w:val="006C36C8"/>
    <w:rsid w:val="006C7C43"/>
    <w:rsid w:val="0071504A"/>
    <w:rsid w:val="007919BB"/>
    <w:rsid w:val="007E1AAC"/>
    <w:rsid w:val="008119F5"/>
    <w:rsid w:val="008825AF"/>
    <w:rsid w:val="008F4A3E"/>
    <w:rsid w:val="00927297"/>
    <w:rsid w:val="009427E6"/>
    <w:rsid w:val="00984BBF"/>
    <w:rsid w:val="009B6DC1"/>
    <w:rsid w:val="009C06A0"/>
    <w:rsid w:val="009E49CC"/>
    <w:rsid w:val="00A34C98"/>
    <w:rsid w:val="00A74478"/>
    <w:rsid w:val="00AB0D47"/>
    <w:rsid w:val="00AD5A90"/>
    <w:rsid w:val="00B74414"/>
    <w:rsid w:val="00B84F37"/>
    <w:rsid w:val="00BA6ADB"/>
    <w:rsid w:val="00BB7C09"/>
    <w:rsid w:val="00C37769"/>
    <w:rsid w:val="00C53EFF"/>
    <w:rsid w:val="00C55A4A"/>
    <w:rsid w:val="00CA603F"/>
    <w:rsid w:val="00CD23E0"/>
    <w:rsid w:val="00CD492D"/>
    <w:rsid w:val="00D50C52"/>
    <w:rsid w:val="00D675CC"/>
    <w:rsid w:val="00D87D7A"/>
    <w:rsid w:val="00DB711A"/>
    <w:rsid w:val="00E046AB"/>
    <w:rsid w:val="00E615B8"/>
    <w:rsid w:val="00E66872"/>
    <w:rsid w:val="00E7247A"/>
    <w:rsid w:val="00E928F7"/>
    <w:rsid w:val="00EF3EC3"/>
    <w:rsid w:val="00F420B6"/>
    <w:rsid w:val="00FB51F5"/>
    <w:rsid w:val="10294EBD"/>
    <w:rsid w:val="27851F92"/>
    <w:rsid w:val="28B62967"/>
    <w:rsid w:val="2B325E2C"/>
    <w:rsid w:val="3B337E5E"/>
    <w:rsid w:val="3FC563F2"/>
    <w:rsid w:val="4D0A29E9"/>
    <w:rsid w:val="5A5262DA"/>
    <w:rsid w:val="60B258FA"/>
    <w:rsid w:val="6FF45072"/>
    <w:rsid w:val="78606D2C"/>
    <w:rsid w:val="79E17356"/>
    <w:rsid w:val="7F4A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36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320" w:lineRule="exact"/>
      <w:outlineLvl w:val="1"/>
    </w:pPr>
    <w:rPr>
      <w:rFonts w:ascii="Arial" w:hAnsi="Arial" w:eastAsia="黑体"/>
      <w:b/>
      <w:sz w:val="28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320" w:lineRule="exact"/>
      <w:outlineLvl w:val="2"/>
    </w:pPr>
    <w:rPr>
      <w:rFonts w:eastAsia="黑体"/>
      <w:b/>
      <w:bCs/>
      <w:sz w:val="24"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2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uiPriority w:val="99"/>
    <w:pPr>
      <w:spacing w:beforeAutospacing="1" w:afterAutospacing="1"/>
      <w:jc w:val="left"/>
    </w:pPr>
    <w:rPr>
      <w:kern w:val="0"/>
      <w:sz w:val="24"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0"/>
  </w:style>
  <w:style w:type="character" w:styleId="14">
    <w:name w:val="FollowedHyperlink"/>
    <w:basedOn w:val="11"/>
    <w:semiHidden/>
    <w:unhideWhenUsed/>
    <w:qFormat/>
    <w:uiPriority w:val="99"/>
    <w:rPr>
      <w:color w:val="800080"/>
      <w:u w:val="single"/>
    </w:rPr>
  </w:style>
  <w:style w:type="character" w:styleId="15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6">
    <w:name w:val="页脚 字符"/>
    <w:link w:val="6"/>
    <w:qFormat/>
    <w:uiPriority w:val="99"/>
    <w:rPr>
      <w:sz w:val="18"/>
      <w:szCs w:val="18"/>
    </w:rPr>
  </w:style>
  <w:style w:type="character" w:customStyle="1" w:styleId="17">
    <w:name w:val="页脚 Char1"/>
    <w:basedOn w:val="11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批注框文本 字符"/>
    <w:basedOn w:val="11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paragraph" w:customStyle="1" w:styleId="20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2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3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18"/>
      <w:szCs w:val="18"/>
    </w:rPr>
  </w:style>
  <w:style w:type="paragraph" w:customStyle="1" w:styleId="24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25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26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7">
    <w:name w:val="font1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8">
    <w:name w:val="font1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9">
    <w:name w:val="font1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30">
    <w:name w:val="xl65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1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2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3">
    <w:name w:val="xl68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4">
    <w:name w:val="xl69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5">
    <w:name w:val="xl70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6">
    <w:name w:val="xl71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6"/>
      <w:szCs w:val="36"/>
    </w:rPr>
  </w:style>
  <w:style w:type="paragraph" w:customStyle="1" w:styleId="37">
    <w:name w:val="xl72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8">
    <w:name w:val="xl73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9">
    <w:name w:val="xl7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0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1">
    <w:name w:val="xl76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2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3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44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5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6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7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8">
    <w:name w:val="xl8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9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0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1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52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3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4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5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6">
    <w:name w:val="xl9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7">
    <w:name w:val="xl92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8">
    <w:name w:val="xl93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59">
    <w:name w:val="xl9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60">
    <w:name w:val="xl95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61">
    <w:name w:val="xl96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62">
    <w:name w:val="xl97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3">
    <w:name w:val="xl9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64">
    <w:name w:val="xl9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5">
    <w:name w:val="xl10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6">
    <w:name w:val="xl10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67">
    <w:name w:val="xl10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68">
    <w:name w:val="xl10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9">
    <w:name w:val="xl10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0">
    <w:name w:val="xl10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71">
    <w:name w:val="xl10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2">
    <w:name w:val="xl107"/>
    <w:basedOn w:val="1"/>
    <w:qFormat/>
    <w:uiPriority w:val="0"/>
    <w:pPr>
      <w:widowControl/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3">
    <w:name w:val="xl10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4">
    <w:name w:val="xl109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5">
    <w:name w:val="xl11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6">
    <w:name w:val="xl111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77">
    <w:name w:val="xl11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8">
    <w:name w:val="xl11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9">
    <w:name w:val="xl11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0">
    <w:name w:val="xl11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1">
    <w:name w:val="xl11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2">
    <w:name w:val="xl11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3">
    <w:name w:val="xl11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4">
    <w:name w:val="xl11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5">
    <w:name w:val="xl120"/>
    <w:basedOn w:val="1"/>
    <w:qFormat/>
    <w:uiPriority w:val="0"/>
    <w:pPr>
      <w:widowControl/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6">
    <w:name w:val="xl12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7">
    <w:name w:val="xl12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8">
    <w:name w:val="xl12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FF"/>
      <w:kern w:val="0"/>
      <w:sz w:val="18"/>
      <w:szCs w:val="18"/>
    </w:rPr>
  </w:style>
  <w:style w:type="paragraph" w:customStyle="1" w:styleId="89">
    <w:name w:val="xl12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0">
    <w:name w:val="xl1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91">
    <w:name w:val="xl126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2">
    <w:name w:val="xl1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93">
    <w:name w:val="xl128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4">
    <w:name w:val="xl1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5">
    <w:name w:val="xl1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6">
    <w:name w:val="xl131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7">
    <w:name w:val="xl13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8">
    <w:name w:val="xl13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9">
    <w:name w:val="xl13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color w:val="000000"/>
      <w:kern w:val="0"/>
      <w:sz w:val="18"/>
      <w:szCs w:val="18"/>
    </w:rPr>
  </w:style>
  <w:style w:type="paragraph" w:customStyle="1" w:styleId="100">
    <w:name w:val="xl13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01">
    <w:name w:val="xl13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2DCDB"/>
      <w:kern w:val="0"/>
      <w:sz w:val="18"/>
      <w:szCs w:val="18"/>
    </w:rPr>
  </w:style>
  <w:style w:type="paragraph" w:customStyle="1" w:styleId="102">
    <w:name w:val="xl13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3">
    <w:name w:val="xl13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4">
    <w:name w:val="xl13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5">
    <w:name w:val="xl140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6">
    <w:name w:val="xl14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07">
    <w:name w:val="xl1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08">
    <w:name w:val="xl14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09">
    <w:name w:val="xl144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0">
    <w:name w:val="xl145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1">
    <w:name w:val="xl146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2">
    <w:name w:val="xl14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3">
    <w:name w:val="xl14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4">
    <w:name w:val="xl14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5">
    <w:name w:val="xl150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6">
    <w:name w:val="xl151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7">
    <w:name w:val="xl15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8">
    <w:name w:val="xl153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9">
    <w:name w:val="xl15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120">
    <w:name w:val="xl155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21">
    <w:name w:val="xl156"/>
    <w:basedOn w:val="1"/>
    <w:qFormat/>
    <w:uiPriority w:val="0"/>
    <w:pPr>
      <w:widowControl/>
      <w:pBdr>
        <w:top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22">
    <w:name w:val="xl15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23">
    <w:name w:val="xl158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character" w:customStyle="1" w:styleId="124">
    <w:name w:val="页眉 字符"/>
    <w:basedOn w:val="11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table" w:customStyle="1" w:styleId="125">
    <w:name w:val="网格型浅色1"/>
    <w:basedOn w:val="9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2E9E0-AAE1-4170-BE04-60A896155AC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shenduxitong</Company>
  <Pages>15</Pages>
  <Words>5977</Words>
  <Characters>6225</Characters>
  <Lines>49</Lines>
  <Paragraphs>14</Paragraphs>
  <TotalTime>9</TotalTime>
  <ScaleCrop>false</ScaleCrop>
  <LinksUpToDate>false</LinksUpToDate>
  <CharactersWithSpaces>6388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2022-09-23T02:04:00Z</dcterms:created>
  <dc:creator>Windows 用户</dc:creator>
  <cp:lastModifiedBy>Lenovo</cp:lastModifiedBy>
  <dcterms:modified xsi:type="dcterms:W3CDTF">2025-12-25T02:36:05Z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eyJoZGlkIjoiYjBlYTYzYmJjZjMxZTMxODc5ZGQyNTJiM2YxMmY3ZTAiLCJ1c2VySWQiOiIzMTExNTk1MDkifQ==</vt:lpwstr>
  </property>
  <property fmtid="{D5CDD505-2E9C-101B-9397-08002B2CF9AE}" pid="3" name="KSOProductBuildVer">
    <vt:lpwstr>2052-12.1.0.24034</vt:lpwstr>
  </property>
  <property fmtid="{D5CDD505-2E9C-101B-9397-08002B2CF9AE}" pid="4" name="ICV">
    <vt:lpwstr>44835C6989D14F2A81A5412D6DFF9619_13</vt:lpwstr>
  </property>
</Properties>
</file>