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5900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eastAsia="黑体"/>
          <w:b/>
          <w:spacing w:val="34"/>
          <w:sz w:val="84"/>
        </w:rPr>
      </w:pPr>
    </w:p>
    <w:p w14:paraId="1E2259A5">
      <w:pPr>
        <w:pStyle w:val="2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 w:ascii="黑体" w:hAnsi="黑体" w:eastAsia="黑体"/>
          <w:b/>
          <w:color w:val="auto"/>
          <w:sz w:val="52"/>
          <w:szCs w:val="60"/>
        </w:rPr>
      </w:pPr>
      <w:r>
        <w:rPr>
          <w:rFonts w:hint="eastAsia" w:ascii="黑体" w:hAnsi="黑体" w:eastAsia="黑体"/>
          <w:b/>
          <w:color w:val="auto"/>
          <w:sz w:val="52"/>
          <w:szCs w:val="60"/>
        </w:rPr>
        <w:t>广东茂名幼儿师范专科学校</w:t>
      </w:r>
    </w:p>
    <w:p w14:paraId="757007EC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统计与大数据分析专业人才培养方案</w:t>
      </w:r>
    </w:p>
    <w:p w14:paraId="3E7A578B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5ADE9E96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6F1439A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</w:p>
    <w:p w14:paraId="4FB91319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 w:eastAsia="宋体"/>
          <w:sz w:val="32"/>
          <w:u w:val="single"/>
          <w:lang w:val="en-US" w:eastAsia="zh-CN"/>
        </w:rPr>
      </w:pPr>
      <w:r>
        <w:rPr>
          <w:rFonts w:hint="eastAsia" w:ascii="宋体" w:hAnsi="宋体"/>
          <w:sz w:val="32"/>
        </w:rPr>
        <w:t xml:space="preserve">学 </w:t>
      </w:r>
      <w:r>
        <w:rPr>
          <w:rFonts w:ascii="宋体" w:hAnsi="宋体"/>
          <w:sz w:val="32"/>
        </w:rPr>
        <w:t xml:space="preserve">       </w:t>
      </w:r>
      <w:r>
        <w:rPr>
          <w:rFonts w:hint="eastAsia" w:ascii="宋体" w:hAnsi="宋体"/>
          <w:sz w:val="32"/>
        </w:rPr>
        <w:t>院</w:t>
      </w:r>
      <w:r>
        <w:rPr>
          <w:rFonts w:hint="eastAsia" w:ascii="宋体" w:hAnsi="宋体"/>
          <w:sz w:val="32"/>
          <w:lang w:val="en-US" w:eastAsia="zh-CN"/>
        </w:rPr>
        <w:t xml:space="preserve">  </w:t>
      </w:r>
      <w:r>
        <w:rPr>
          <w:rFonts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 理</w:t>
      </w:r>
      <w:r>
        <w:rPr>
          <w:rFonts w:hint="eastAsia" w:ascii="宋体" w:hAnsi="宋体"/>
          <w:sz w:val="32"/>
          <w:u w:val="single"/>
        </w:rPr>
        <w:t xml:space="preserve">学院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  </w:t>
      </w:r>
    </w:p>
    <w:p w14:paraId="0A1E8492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专</w:t>
      </w:r>
      <w:r>
        <w:rPr>
          <w:rFonts w:ascii="宋体" w:hAnsi="宋体"/>
          <w:sz w:val="32"/>
        </w:rPr>
        <w:t xml:space="preserve">        业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>统计与大数据分析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 </w:t>
      </w:r>
    </w:p>
    <w:p w14:paraId="4FD08A63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年</w:t>
      </w:r>
      <w:r>
        <w:rPr>
          <w:rFonts w:ascii="宋体" w:hAnsi="宋体"/>
          <w:sz w:val="32"/>
        </w:rPr>
        <w:t xml:space="preserve">        级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2026级  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0E59DE65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制   定   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钟妮珊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28B587C8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 w:eastAsia="宋体"/>
          <w:sz w:val="32"/>
          <w:u w:val="single"/>
          <w:lang w:val="en-US" w:eastAsia="zh-CN"/>
        </w:rPr>
      </w:pPr>
      <w:r>
        <w:rPr>
          <w:rFonts w:hint="eastAsia" w:ascii="宋体" w:hAnsi="宋体"/>
          <w:sz w:val="32"/>
        </w:rPr>
        <w:t>审</w:t>
      </w:r>
      <w:r>
        <w:rPr>
          <w:rFonts w:hint="eastAsia" w:ascii="宋体" w:hAnsi="宋体"/>
          <w:sz w:val="32"/>
          <w:lang w:val="en-US" w:eastAsia="zh-CN"/>
        </w:rPr>
        <w:t xml:space="preserve">   核   </w:t>
      </w:r>
      <w:r>
        <w:rPr>
          <w:rFonts w:hint="eastAsia" w:ascii="宋体" w:hAnsi="宋体"/>
          <w:sz w:val="32"/>
        </w:rPr>
        <w:t xml:space="preserve">人 </w:t>
      </w:r>
      <w:r>
        <w:rPr>
          <w:rFonts w:hint="eastAsia" w:ascii="宋体" w:hAnsi="宋体"/>
          <w:sz w:val="32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</w:t>
      </w:r>
      <w:r>
        <w:rPr>
          <w:rFonts w:hint="eastAsia" w:ascii="宋体" w:hAnsi="宋体"/>
          <w:sz w:val="32"/>
          <w:u w:val="single"/>
        </w:rPr>
        <w:t xml:space="preserve">    </w:t>
      </w:r>
      <w:r>
        <w:rPr>
          <w:rFonts w:hint="eastAsia" w:ascii="宋体" w:hAnsi="宋体"/>
          <w:sz w:val="32"/>
          <w:u w:val="single"/>
          <w:lang w:val="en-US" w:eastAsia="zh-CN"/>
        </w:rPr>
        <w:t>罗庆仙</w:t>
      </w:r>
      <w:r>
        <w:rPr>
          <w:rFonts w:hint="eastAsia" w:ascii="宋体" w:hAnsi="宋体"/>
          <w:sz w:val="32"/>
          <w:u w:val="single"/>
        </w:rPr>
        <w:t xml:space="preserve">  </w:t>
      </w:r>
      <w:r>
        <w:rPr>
          <w:rFonts w:hint="eastAsia" w:ascii="宋体" w:hAnsi="宋体"/>
          <w:sz w:val="32"/>
          <w:u w:val="single"/>
          <w:lang w:val="en-US" w:eastAsia="zh-CN"/>
        </w:rPr>
        <w:t xml:space="preserve"> </w:t>
      </w:r>
      <w:r>
        <w:rPr>
          <w:rFonts w:ascii="宋体" w:hAnsi="宋体"/>
          <w:sz w:val="32"/>
          <w:u w:val="single"/>
        </w:rPr>
        <w:t xml:space="preserve">     </w:t>
      </w:r>
      <w:r>
        <w:rPr>
          <w:rFonts w:hint="eastAsia" w:ascii="宋体" w:hAnsi="宋体"/>
          <w:sz w:val="32"/>
          <w:u w:val="single"/>
        </w:rPr>
        <w:t xml:space="preserve"> </w:t>
      </w:r>
      <w:r>
        <w:rPr>
          <w:rFonts w:ascii="宋体" w:hAnsi="宋体"/>
          <w:sz w:val="32"/>
          <w:u w:val="single"/>
        </w:rPr>
        <w:t xml:space="preserve"> </w:t>
      </w:r>
    </w:p>
    <w:p w14:paraId="6517D34F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93FAF7A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ascii="宋体" w:hAnsi="宋体"/>
          <w:sz w:val="32"/>
          <w:u w:val="single"/>
        </w:rPr>
      </w:pPr>
    </w:p>
    <w:p w14:paraId="1282B59B">
      <w:pPr>
        <w:keepLines w:val="0"/>
        <w:pageBreakBefore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spacing w:line="900" w:lineRule="exact"/>
        <w:ind w:firstLine="1574" w:firstLineChars="492"/>
        <w:textAlignment w:val="auto"/>
        <w:rPr>
          <w:rFonts w:hint="eastAsia" w:ascii="宋体" w:hAnsi="宋体"/>
          <w:sz w:val="32"/>
          <w:u w:val="single"/>
        </w:rPr>
      </w:pPr>
    </w:p>
    <w:p w14:paraId="1FBE6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sectPr>
          <w:footerReference r:id="rId3" w:type="default"/>
          <w:footerReference r:id="rId4" w:type="even"/>
          <w:pgSz w:w="11906" w:h="16838"/>
          <w:pgMar w:top="1247" w:right="1304" w:bottom="1247" w:left="1134" w:header="851" w:footer="992" w:gutter="0"/>
          <w:pgNumType w:start="1"/>
          <w:cols w:space="720" w:num="1"/>
          <w:docGrid w:type="lines" w:linePitch="312" w:charSpace="0"/>
        </w:sectPr>
      </w:pPr>
      <w:r>
        <w:t>202</w:t>
      </w:r>
      <w:r>
        <w:rPr>
          <w:rFonts w:hint="eastAsia"/>
          <w:lang w:val="en-US" w:eastAsia="zh-CN"/>
        </w:rPr>
        <w:t>5</w:t>
      </w:r>
      <w:r>
        <w:t>年10月</w:t>
      </w:r>
    </w:p>
    <w:p w14:paraId="3615A9BA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</w:rPr>
      </w:pPr>
      <w:r>
        <w:rPr>
          <w:rFonts w:hint="eastAsia" w:ascii="黑体" w:hAnsi="黑体" w:eastAsia="黑体"/>
          <w:b/>
          <w:color w:val="auto"/>
        </w:rPr>
        <w:t>202</w:t>
      </w:r>
      <w:r>
        <w:rPr>
          <w:rFonts w:hint="eastAsia" w:ascii="黑体" w:hAnsi="黑体" w:eastAsia="黑体"/>
          <w:b/>
          <w:color w:val="auto"/>
          <w:lang w:val="en-US" w:eastAsia="zh-CN"/>
        </w:rPr>
        <w:t>6</w:t>
      </w:r>
      <w:r>
        <w:rPr>
          <w:rFonts w:hint="eastAsia" w:ascii="黑体" w:hAnsi="黑体" w:eastAsia="黑体"/>
          <w:b/>
          <w:color w:val="auto"/>
        </w:rPr>
        <w:t>级统计与大数据分析专业人才培养方案</w:t>
      </w:r>
    </w:p>
    <w:p w14:paraId="0CA05B58">
      <w:pPr>
        <w:pStyle w:val="2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textAlignment w:val="auto"/>
        <w:rPr>
          <w:rFonts w:hint="eastAsia" w:ascii="黑体" w:hAnsi="黑体" w:eastAsia="黑体"/>
          <w:b/>
          <w:color w:val="auto"/>
          <w:lang w:eastAsia="zh-CN"/>
        </w:rPr>
      </w:pPr>
      <w:r>
        <w:rPr>
          <w:rFonts w:hint="eastAsia" w:ascii="黑体" w:hAnsi="黑体" w:eastAsia="黑体"/>
          <w:b/>
          <w:color w:val="auto"/>
          <w:lang w:eastAsia="zh-CN"/>
        </w:rPr>
        <w:t>（</w:t>
      </w:r>
      <w:r>
        <w:rPr>
          <w:rFonts w:hint="eastAsia" w:ascii="黑体" w:hAnsi="黑体" w:eastAsia="黑体"/>
          <w:b/>
          <w:color w:val="auto"/>
          <w:lang w:val="en-US" w:eastAsia="zh-CN"/>
        </w:rPr>
        <w:t>三年制</w:t>
      </w:r>
      <w:r>
        <w:rPr>
          <w:rFonts w:hint="eastAsia" w:ascii="黑体" w:hAnsi="黑体" w:eastAsia="黑体"/>
          <w:b/>
          <w:color w:val="auto"/>
          <w:lang w:eastAsia="zh-CN"/>
        </w:rPr>
        <w:t>）</w:t>
      </w:r>
    </w:p>
    <w:p w14:paraId="6ACBE25E">
      <w:pPr>
        <w:rPr>
          <w:rFonts w:hint="eastAsia"/>
        </w:rPr>
      </w:pPr>
    </w:p>
    <w:p w14:paraId="343742BE">
      <w:pPr>
        <w:pStyle w:val="3"/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一、专业名称</w:t>
      </w:r>
      <w:r>
        <w:rPr>
          <w:rFonts w:hint="eastAsia"/>
          <w:color w:val="auto"/>
          <w:lang w:eastAsia="zh-CN"/>
        </w:rPr>
        <w:t>（</w:t>
      </w:r>
      <w:r>
        <w:rPr>
          <w:rFonts w:hint="eastAsia"/>
          <w:color w:val="auto"/>
        </w:rPr>
        <w:t>代码</w:t>
      </w:r>
      <w:r>
        <w:rPr>
          <w:rFonts w:hint="eastAsia"/>
          <w:color w:val="auto"/>
          <w:lang w:eastAsia="zh-CN"/>
        </w:rPr>
        <w:t>）</w:t>
      </w:r>
    </w:p>
    <w:p w14:paraId="66CEBB78">
      <w:pPr>
        <w:spacing w:line="360" w:lineRule="auto"/>
        <w:ind w:firstLine="420" w:firstLineChars="200"/>
        <w:rPr>
          <w:rStyle w:val="12"/>
          <w:rFonts w:ascii="宋体" w:hAnsi="宋体"/>
          <w:szCs w:val="21"/>
        </w:rPr>
      </w:pPr>
      <w:r>
        <w:rPr>
          <w:rFonts w:hint="eastAsia"/>
        </w:rPr>
        <w:t>统计与大数据分析</w:t>
      </w:r>
      <w:r>
        <w:rPr>
          <w:rFonts w:hint="eastAsia"/>
          <w:szCs w:val="21"/>
        </w:rPr>
        <w:t>(专业代码:</w:t>
      </w:r>
      <w:r>
        <w:rPr>
          <w:rFonts w:hint="eastAsia"/>
        </w:rPr>
        <w:t>530401</w:t>
      </w:r>
      <w:r>
        <w:rPr>
          <w:rFonts w:hint="eastAsia"/>
          <w:szCs w:val="21"/>
        </w:rPr>
        <w:t>)</w:t>
      </w:r>
    </w:p>
    <w:p w14:paraId="245FAD1F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二、入学要求</w:t>
      </w:r>
    </w:p>
    <w:p w14:paraId="0581566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rStyle w:val="12"/>
          <w:rFonts w:hint="eastAsia" w:ascii="宋体" w:hAnsi="宋体"/>
          <w:szCs w:val="21"/>
        </w:rPr>
      </w:pPr>
      <w:r>
        <w:rPr>
          <w:rFonts w:hint="eastAsia"/>
        </w:rPr>
        <w:t>普通高级中学毕业、中等职业学校毕业或具备同等学力</w:t>
      </w:r>
    </w:p>
    <w:p w14:paraId="4DDB9217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三、基本修业年限</w:t>
      </w:r>
    </w:p>
    <w:p w14:paraId="7B8067C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20" w:firstLineChars="200"/>
        <w:textAlignment w:val="auto"/>
        <w:rPr>
          <w:szCs w:val="21"/>
        </w:rPr>
      </w:pPr>
      <w:r>
        <w:rPr>
          <w:rFonts w:hint="eastAsia"/>
          <w:szCs w:val="21"/>
        </w:rPr>
        <w:t>三年</w:t>
      </w:r>
    </w:p>
    <w:p w14:paraId="081B0F73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四、职业面向</w:t>
      </w:r>
    </w:p>
    <w:p w14:paraId="4428600F">
      <w:pPr>
        <w:widowControl/>
        <w:ind w:firstLine="840" w:firstLineChars="400"/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bidi="ar"/>
        </w:rPr>
        <w:t xml:space="preserve">表1 ：本专业职业面向 </w:t>
      </w:r>
    </w:p>
    <w:tbl>
      <w:tblPr>
        <w:tblStyle w:val="9"/>
        <w:tblW w:w="96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496"/>
        <w:gridCol w:w="1739"/>
        <w:gridCol w:w="1926"/>
        <w:gridCol w:w="2930"/>
      </w:tblGrid>
      <w:tr w14:paraId="3965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545" w:type="dxa"/>
          </w:tcPr>
          <w:p w14:paraId="719C41CE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所属专业大类</w:t>
            </w:r>
          </w:p>
        </w:tc>
        <w:tc>
          <w:tcPr>
            <w:tcW w:w="1496" w:type="dxa"/>
          </w:tcPr>
          <w:p w14:paraId="062E1726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所属专业类</w:t>
            </w:r>
          </w:p>
        </w:tc>
        <w:tc>
          <w:tcPr>
            <w:tcW w:w="1739" w:type="dxa"/>
          </w:tcPr>
          <w:p w14:paraId="14F55BA3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对应行业</w:t>
            </w:r>
          </w:p>
        </w:tc>
        <w:tc>
          <w:tcPr>
            <w:tcW w:w="1926" w:type="dxa"/>
          </w:tcPr>
          <w:p w14:paraId="56FF742A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主要职业类别</w:t>
            </w:r>
          </w:p>
        </w:tc>
        <w:tc>
          <w:tcPr>
            <w:tcW w:w="2930" w:type="dxa"/>
          </w:tcPr>
          <w:p w14:paraId="2FBC420E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主要岗位群或技术领域</w:t>
            </w:r>
          </w:p>
          <w:p w14:paraId="28057B4C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 w14:paraId="680C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</w:trPr>
        <w:tc>
          <w:tcPr>
            <w:tcW w:w="1545" w:type="dxa"/>
          </w:tcPr>
          <w:p w14:paraId="7B732D28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财经商贸（53）</w:t>
            </w:r>
          </w:p>
        </w:tc>
        <w:tc>
          <w:tcPr>
            <w:tcW w:w="1496" w:type="dxa"/>
          </w:tcPr>
          <w:p w14:paraId="4B6DDBAF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统计类（5304）</w:t>
            </w:r>
          </w:p>
        </w:tc>
        <w:tc>
          <w:tcPr>
            <w:tcW w:w="1739" w:type="dxa"/>
          </w:tcPr>
          <w:p w14:paraId="27993F6E">
            <w:pPr>
              <w:spacing w:line="400" w:lineRule="exac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政府机关、企事业单位等</w:t>
            </w:r>
            <w:r>
              <w:rPr>
                <w:rFonts w:hint="eastAsia"/>
              </w:rPr>
              <w:t>行业、领域。</w:t>
            </w:r>
          </w:p>
        </w:tc>
        <w:tc>
          <w:tcPr>
            <w:tcW w:w="1926" w:type="dxa"/>
          </w:tcPr>
          <w:p w14:paraId="29B69363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统计专业人员、 </w:t>
            </w:r>
          </w:p>
          <w:p w14:paraId="1E8146BA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评估专业人员、  </w:t>
            </w:r>
          </w:p>
          <w:p w14:paraId="1D167B4B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行政业务办理人员、 </w:t>
            </w:r>
          </w:p>
          <w:p w14:paraId="54102A98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/>
              </w:rPr>
              <w:t>数据咨询服务人员。</w:t>
            </w:r>
          </w:p>
        </w:tc>
        <w:tc>
          <w:tcPr>
            <w:tcW w:w="2930" w:type="dxa"/>
            <w:vAlign w:val="center"/>
          </w:tcPr>
          <w:p w14:paraId="6954EA7B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从事统计调研； </w:t>
            </w:r>
          </w:p>
          <w:p w14:paraId="61F054A6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数据分析员； </w:t>
            </w:r>
          </w:p>
          <w:p w14:paraId="2584B4E9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信息咨询人员； </w:t>
            </w:r>
          </w:p>
          <w:p w14:paraId="221325A2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财务管理人员； </w:t>
            </w:r>
          </w:p>
          <w:p w14:paraId="3E61F83D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信息管理人员； </w:t>
            </w:r>
          </w:p>
          <w:p w14:paraId="3D09ABC6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办公文员。</w:t>
            </w:r>
          </w:p>
          <w:p w14:paraId="10258D68">
            <w:pPr>
              <w:rPr>
                <w:rFonts w:ascii="宋体" w:hAnsi="宋体" w:cs="宋体"/>
                <w:bCs/>
                <w:szCs w:val="21"/>
              </w:rPr>
            </w:pPr>
          </w:p>
        </w:tc>
      </w:tr>
    </w:tbl>
    <w:p w14:paraId="369CB603">
      <w:pPr>
        <w:spacing w:line="360" w:lineRule="auto"/>
        <w:ind w:firstLine="422" w:firstLineChars="200"/>
        <w:rPr>
          <w:rFonts w:ascii="宋体" w:hAnsi="宋体"/>
          <w:b/>
          <w:szCs w:val="21"/>
        </w:rPr>
      </w:pPr>
    </w:p>
    <w:p w14:paraId="34FF5CEB">
      <w:pPr>
        <w:spacing w:line="360" w:lineRule="auto"/>
        <w:ind w:firstLine="422" w:firstLineChars="200"/>
        <w:rPr>
          <w:rStyle w:val="12"/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五</w:t>
      </w:r>
      <w:r>
        <w:rPr>
          <w:rFonts w:hint="eastAsia" w:ascii="宋体" w:hAnsi="宋体"/>
          <w:szCs w:val="21"/>
        </w:rPr>
        <w:t>、</w:t>
      </w:r>
      <w:r>
        <w:rPr>
          <w:rStyle w:val="12"/>
          <w:rFonts w:hint="eastAsia" w:ascii="宋体" w:hAnsi="宋体"/>
          <w:szCs w:val="21"/>
        </w:rPr>
        <w:t>培养目标</w:t>
      </w:r>
    </w:p>
    <w:p w14:paraId="439C7651">
      <w:pPr>
        <w:pStyle w:val="19"/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</w:rPr>
        <w:t>本专业面向粤西及周边地区企业，培养德、智、体、美、劳全面发展，适应经济建设、 科技进步和产业结构变化，掌握扎实的科学文化基础和统计核算、大数据分析、数据库及相关法律法规等知识，具备统计数据资料采集与整理、统计分析软件应用、统计分析报告撰写等能力，具有工匠精神和信息素养，能够从事数据预处理、统计数据和资料分析、数据可视化、数据咨询服务、数据库应用与维护等工作的高素质技术技能人才。</w:t>
      </w:r>
    </w:p>
    <w:p w14:paraId="6473DE2F">
      <w:pPr>
        <w:numPr>
          <w:ilvl w:val="0"/>
          <w:numId w:val="1"/>
        </w:numPr>
        <w:spacing w:line="360" w:lineRule="auto"/>
        <w:ind w:firstLine="417" w:firstLineChars="198"/>
        <w:rPr>
          <w:rStyle w:val="12"/>
          <w:rFonts w:ascii="宋体" w:hAnsi="宋体"/>
          <w:szCs w:val="21"/>
        </w:rPr>
      </w:pPr>
      <w:r>
        <w:rPr>
          <w:rStyle w:val="12"/>
          <w:rFonts w:hint="eastAsia" w:ascii="宋体" w:hAnsi="宋体"/>
          <w:szCs w:val="21"/>
        </w:rPr>
        <w:t>培养规格</w:t>
      </w:r>
    </w:p>
    <w:p w14:paraId="4C1FAC55">
      <w:pPr>
        <w:spacing w:line="360" w:lineRule="auto"/>
        <w:ind w:firstLine="43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（一）素质</w:t>
      </w:r>
    </w:p>
    <w:p w14:paraId="76230AFF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1）坚定拥护中国共产党领导和我国 社会主义制度，在习近平新时代中国特色社会主义思想指引下，践行社会主义核心价值观，具有深厚的爱国情感和中华民族自豪感。 </w:t>
      </w:r>
    </w:p>
    <w:p w14:paraId="3969DBD6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2）崇尚宪法、遵法守纪、崇德向善、诚实守信、尊重生命、热爱劳动，履行道德准则和行为规范，具有社会责任感和社会参与意识。 </w:t>
      </w:r>
    </w:p>
    <w:p w14:paraId="2D237CAE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3）具有质量意识、环保意识、安全 意识、信息素养、工匠精神、创新 思维。 </w:t>
      </w:r>
    </w:p>
    <w:p w14:paraId="4572F42E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4）掌握法律意识，基本技能，思维能力（能有新想法、发现并解决问题、分析事物规律并运用规律解决问题），个人品质（有责任感、敬业精神、能正确评价自己、正直、诚实、遵守社会道德行为准则）。</w:t>
      </w:r>
    </w:p>
    <w:p w14:paraId="660E61CC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5）具有应用统计方法分析与处理企业经济问题和社会经济问题的能力，能为企业管理层的有效决策提供支持，能为政府、企事业单位的决策提供服务。 </w:t>
      </w:r>
    </w:p>
    <w:p w14:paraId="50CACE30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6）遵守统计人员的职业道德，坚守统计人员的职业信念，坚持实事求是原则，保持持续学习的态度和素质。 </w:t>
      </w:r>
    </w:p>
    <w:p w14:paraId="0F54E3AD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7）政治素质过硬，坚持中国共产党的统一领导，身心健康等。 </w:t>
      </w:r>
    </w:p>
    <w:p w14:paraId="46AF2E54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（二）知识 </w:t>
      </w:r>
    </w:p>
    <w:p w14:paraId="4991151F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1）掌握必备的思想政治理论、科学文化基础知识和中华优秀传统文化知识。 </w:t>
      </w:r>
    </w:p>
    <w:p w14:paraId="5DE42079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2）熟悉与本专业相关的法律法规以及环境保护、安全消防等知识。 </w:t>
      </w:r>
    </w:p>
    <w:p w14:paraId="13BEB679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3）掌握经济、财政、金融、企业管理、社会调查与分析等基础知识。 </w:t>
      </w:r>
    </w:p>
    <w:p w14:paraId="166B04BE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4）掌握财经职业素养、经济与管理基础、统计法规、会计基础、统计基础与实务、Excel与统计分析、统 计分析软件。 </w:t>
      </w:r>
    </w:p>
    <w:p w14:paraId="22A1BD20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5）统计预测与决策、银行管理、营销与策划、国民经济核算、企业成本核算、互联网金融与创业、大数据统计分析、企业经济统计、新媒体营销等。 </w:t>
      </w:r>
    </w:p>
    <w:p w14:paraId="31E12EC5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6）个人理财、金融市场、消费心理学、投资与理财、风险管理等。</w:t>
      </w:r>
    </w:p>
    <w:p w14:paraId="26CC139C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7）大数据统计分析、职业礼仪、工作交流与有效沟通、EXCEL与统计处理、信息管理等。 </w:t>
      </w:r>
    </w:p>
    <w:p w14:paraId="7E190B8E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（三）能力</w:t>
      </w:r>
    </w:p>
    <w:p w14:paraId="21DD3628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（1）具有根据国民经济统计资料计算基本统计指标，以及对国民经济运行状况进行</w:t>
      </w:r>
    </w:p>
    <w:p w14:paraId="3E7361D7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初步分析的能力；</w:t>
      </w:r>
    </w:p>
    <w:p w14:paraId="6B7D4F9E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（2）具有应用统计软件（如 Excel、SAS、SPSS 等）、计算机语言（如 R、Python</w:t>
      </w:r>
    </w:p>
    <w:p w14:paraId="41644A6C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等）对数据进行清洗、整理、挖掘、分析和可视化输出的能力；</w:t>
      </w:r>
    </w:p>
    <w:p w14:paraId="3F87EBF9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（3）具有数据库应用能力，具有数据库存储、优化、迁移、查询等能力；</w:t>
      </w:r>
    </w:p>
    <w:p w14:paraId="5C748805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（4）具有数据采集与预处理以及数据动态分析、评估和预测的能力；</w:t>
      </w:r>
    </w:p>
    <w:p w14:paraId="7D931C7A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（5）具有数据整理、实现文字图表可视化、撰写统计分析报告的能力；</w:t>
      </w:r>
    </w:p>
    <w:p w14:paraId="0FB86D68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（6）具有统计质量控制、数据安全、环境保护等能力，具备与本专业从事职业活动</w:t>
      </w:r>
    </w:p>
    <w:p w14:paraId="3149F6A4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相关的统计法律法规知识；</w:t>
      </w:r>
    </w:p>
    <w:p w14:paraId="7D87AC78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（7）具有探究学习、终身学习和可持续发展的能力。</w:t>
      </w:r>
    </w:p>
    <w:p w14:paraId="19B80AE9">
      <w:pPr>
        <w:widowControl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</w:p>
    <w:p w14:paraId="6DFB529D">
      <w:pPr>
        <w:spacing w:line="360" w:lineRule="auto"/>
        <w:ind w:firstLine="417" w:firstLineChars="198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七、毕业要求</w:t>
      </w:r>
    </w:p>
    <w:p w14:paraId="5D9D3ECE">
      <w:pPr>
        <w:spacing w:line="360" w:lineRule="auto"/>
        <w:ind w:firstLine="417" w:firstLineChars="198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1．毕业要求</w:t>
      </w:r>
    </w:p>
    <w:p w14:paraId="747F42B8">
      <w:pPr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（1）毕业总学分不得低于145学分，必修学分122学分，选修学分不低于23学分。</w:t>
      </w:r>
    </w:p>
    <w:p w14:paraId="512F7D89">
      <w:pPr>
        <w:spacing w:line="360" w:lineRule="auto"/>
        <w:ind w:firstLine="415" w:firstLineChars="198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Cs w:val="21"/>
        </w:rPr>
        <w:t>（2）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项目替代学分。学生取得超出培养方案规定以外的证书及其他课外学分，可用来替代某些课程的学分。替代原则：比赛获奖、考证、参加项目开发等根据专业认定只能替换专业非核心岗位课程学分。替代学分要大于或等于被替代学分，原则上被替代课程与替代学分有较高关联度。替换总学分不得超过15学分。本专业学生可通过参加竞赛、科技活动、社会实践等获取课外学分。课外学分获取来源及分值</w:t>
      </w:r>
    </w:p>
    <w:p w14:paraId="25EFD1CE">
      <w:pPr>
        <w:spacing w:line="360" w:lineRule="auto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设定如下表所示。</w:t>
      </w:r>
    </w:p>
    <w:p w14:paraId="7C5087ED">
      <w:pPr>
        <w:spacing w:line="360" w:lineRule="auto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87B82DD">
      <w:pPr>
        <w:spacing w:line="360" w:lineRule="auto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558242F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专业课外学分分值设定表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987"/>
        <w:gridCol w:w="6260"/>
      </w:tblGrid>
      <w:tr w14:paraId="72FCF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6" w:type="dxa"/>
            <w:gridSpan w:val="2"/>
          </w:tcPr>
          <w:p w14:paraId="51711F5A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类别</w:t>
            </w:r>
          </w:p>
        </w:tc>
        <w:tc>
          <w:tcPr>
            <w:tcW w:w="6260" w:type="dxa"/>
          </w:tcPr>
          <w:p w14:paraId="7BCC9855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可替换学分</w:t>
            </w:r>
          </w:p>
        </w:tc>
      </w:tr>
      <w:tr w14:paraId="754BF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restart"/>
          </w:tcPr>
          <w:p w14:paraId="6CA3A0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5C4AFFD9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4446045E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4D227080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3D42BCF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  <w:p w14:paraId="4458EB42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技能竞赛类</w:t>
            </w:r>
          </w:p>
        </w:tc>
        <w:tc>
          <w:tcPr>
            <w:tcW w:w="1987" w:type="dxa"/>
          </w:tcPr>
          <w:p w14:paraId="22462968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教育行政主管部门组织的竞赛</w:t>
            </w:r>
          </w:p>
        </w:tc>
        <w:tc>
          <w:tcPr>
            <w:tcW w:w="6260" w:type="dxa"/>
          </w:tcPr>
          <w:p w14:paraId="78AF39D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三等奖、二等奖、一等奖、特等奖可分别替换0.5学分、1学分、2学分、3学分；省级优秀奖、三等奖、二等奖、一等奖、特等奖可分别替换2学分、3学分、4学分、5学分、6学分；国家级优秀奖、三等奖、二等奖、一等奖、特等奖可分别替换5学分、6学分、7学分、8学分、9学分。</w:t>
            </w:r>
          </w:p>
        </w:tc>
      </w:tr>
      <w:tr w14:paraId="37DE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continue"/>
          </w:tcPr>
          <w:p w14:paraId="7E66B5D2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</w:tcPr>
          <w:p w14:paraId="455A2243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其他行业协会或社会组织的竞赛</w:t>
            </w:r>
          </w:p>
        </w:tc>
        <w:tc>
          <w:tcPr>
            <w:tcW w:w="6260" w:type="dxa"/>
          </w:tcPr>
          <w:p w14:paraId="2DE1509D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市级一等奖、特等奖可分别替换0.5学分、1学分；省级优秀奖、三等奖、二等奖、一等奖、特等奖可分别替换1学分、2学分、3学分、4学分、5学分；国家级优秀奖、三等奖、二等奖、一等奖、特等奖可分别替换4学分、5学分、6学分、7学分、8学分</w:t>
            </w:r>
          </w:p>
        </w:tc>
      </w:tr>
      <w:tr w14:paraId="4414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continue"/>
          </w:tcPr>
          <w:p w14:paraId="68921618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</w:tcPr>
          <w:p w14:paraId="4766746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校级竞赛</w:t>
            </w:r>
          </w:p>
        </w:tc>
        <w:tc>
          <w:tcPr>
            <w:tcW w:w="6260" w:type="dxa"/>
          </w:tcPr>
          <w:p w14:paraId="408B8907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校级技能竞赛一等奖以上可替换0.5学分</w:t>
            </w:r>
          </w:p>
        </w:tc>
      </w:tr>
      <w:tr w14:paraId="11A8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restart"/>
          </w:tcPr>
          <w:p w14:paraId="652E20BB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35AAA443">
            <w:pPr>
              <w:spacing w:line="360" w:lineRule="auto"/>
              <w:rPr>
                <w:rFonts w:ascii="宋体" w:hAnsi="宋体"/>
                <w:szCs w:val="21"/>
              </w:rPr>
            </w:pPr>
          </w:p>
          <w:p w14:paraId="6E6C819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项目开发类</w:t>
            </w:r>
          </w:p>
        </w:tc>
        <w:tc>
          <w:tcPr>
            <w:tcW w:w="1987" w:type="dxa"/>
          </w:tcPr>
          <w:p w14:paraId="53B57E1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自主实施的项目开发</w:t>
            </w:r>
          </w:p>
        </w:tc>
        <w:tc>
          <w:tcPr>
            <w:tcW w:w="6260" w:type="dxa"/>
          </w:tcPr>
          <w:p w14:paraId="74B2FD3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提供合作企业证明文件、工商登记证明等有效证明文件由专业负责人认定可替换学分,每学期累计不得超过8学分。</w:t>
            </w:r>
          </w:p>
        </w:tc>
      </w:tr>
      <w:tr w14:paraId="4F3B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continue"/>
          </w:tcPr>
          <w:p w14:paraId="1B26EEE6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</w:tcPr>
          <w:p w14:paraId="3FA7AD8B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</w:t>
            </w:r>
          </w:p>
        </w:tc>
        <w:tc>
          <w:tcPr>
            <w:tcW w:w="6260" w:type="dxa"/>
          </w:tcPr>
          <w:p w14:paraId="1EB98BFC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参与老师组织的项目开发，由专业负责人和项目主持老师认定可替换学分，原则上参加2周为1学分。</w:t>
            </w:r>
          </w:p>
        </w:tc>
      </w:tr>
      <w:tr w14:paraId="69B99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</w:tcPr>
          <w:p w14:paraId="4AA1F29E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职业资格证书类</w:t>
            </w:r>
          </w:p>
        </w:tc>
        <w:tc>
          <w:tcPr>
            <w:tcW w:w="1987" w:type="dxa"/>
          </w:tcPr>
          <w:p w14:paraId="41E57CD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人力资源和社会保障系统职业资格证书</w:t>
            </w:r>
          </w:p>
        </w:tc>
        <w:tc>
          <w:tcPr>
            <w:tcW w:w="6260" w:type="dxa"/>
          </w:tcPr>
          <w:p w14:paraId="1BF38EC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取得中级工可替换1学分，高级工可替换2学分，技师级可替换6学分</w:t>
            </w:r>
          </w:p>
        </w:tc>
      </w:tr>
      <w:tr w14:paraId="7D7DF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restart"/>
          </w:tcPr>
          <w:p w14:paraId="109BA939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发明专利类</w:t>
            </w:r>
          </w:p>
        </w:tc>
        <w:tc>
          <w:tcPr>
            <w:tcW w:w="1987" w:type="dxa"/>
          </w:tcPr>
          <w:p w14:paraId="3EB7B2B1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发明专利</w:t>
            </w:r>
          </w:p>
        </w:tc>
        <w:tc>
          <w:tcPr>
            <w:tcW w:w="6260" w:type="dxa"/>
          </w:tcPr>
          <w:p w14:paraId="284F18FA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发明专利</w:t>
            </w:r>
            <w:r>
              <w:rPr>
                <w:rFonts w:hint="eastAsia" w:ascii="宋体" w:hAnsi="宋体"/>
                <w:szCs w:val="21"/>
              </w:rPr>
              <w:t>可替换8学分</w:t>
            </w:r>
          </w:p>
        </w:tc>
      </w:tr>
      <w:tr w14:paraId="2FD0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continue"/>
          </w:tcPr>
          <w:p w14:paraId="65B1FD7D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</w:tcPr>
          <w:p w14:paraId="7856968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实用新型专利</w:t>
            </w:r>
          </w:p>
        </w:tc>
        <w:tc>
          <w:tcPr>
            <w:tcW w:w="6260" w:type="dxa"/>
          </w:tcPr>
          <w:p w14:paraId="2CD98506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实用新型专利</w:t>
            </w:r>
            <w:r>
              <w:rPr>
                <w:rFonts w:hint="eastAsia" w:ascii="宋体" w:hAnsi="宋体"/>
                <w:szCs w:val="21"/>
              </w:rPr>
              <w:t>可替换6学分</w:t>
            </w:r>
          </w:p>
        </w:tc>
      </w:tr>
      <w:tr w14:paraId="1DA1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Merge w:val="continue"/>
          </w:tcPr>
          <w:p w14:paraId="7DDAF449"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987" w:type="dxa"/>
          </w:tcPr>
          <w:p w14:paraId="53DA8848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外观设计专利</w:t>
            </w:r>
          </w:p>
        </w:tc>
        <w:tc>
          <w:tcPr>
            <w:tcW w:w="6260" w:type="dxa"/>
          </w:tcPr>
          <w:p w14:paraId="01AB246D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取得</w:t>
            </w:r>
            <w:r>
              <w:rPr>
                <w:rFonts w:ascii="宋体" w:hAnsi="宋体"/>
                <w:szCs w:val="21"/>
              </w:rPr>
              <w:t>外观设计专利</w:t>
            </w:r>
            <w:r>
              <w:rPr>
                <w:rFonts w:hint="eastAsia" w:ascii="宋体" w:hAnsi="宋体"/>
                <w:szCs w:val="21"/>
              </w:rPr>
              <w:t>可替换4学分</w:t>
            </w:r>
          </w:p>
        </w:tc>
      </w:tr>
    </w:tbl>
    <w:p w14:paraId="48E81372">
      <w:pPr>
        <w:adjustRightInd w:val="0"/>
        <w:snapToGrid w:val="0"/>
        <w:spacing w:line="360" w:lineRule="auto"/>
        <w:ind w:firstLine="525" w:firstLineChars="250"/>
        <w:rPr>
          <w:rFonts w:ascii="宋体" w:hAnsi="宋体"/>
          <w:szCs w:val="21"/>
        </w:rPr>
      </w:pPr>
    </w:p>
    <w:p w14:paraId="0A3EE8B0">
      <w:pPr>
        <w:spacing w:line="360" w:lineRule="auto"/>
        <w:ind w:firstLine="361" w:firstLineChars="200"/>
        <w:rPr>
          <w:rFonts w:ascii="宋体" w:hAnsi="宋体"/>
          <w:szCs w:val="21"/>
        </w:rPr>
      </w:pPr>
      <w:r>
        <w:rPr>
          <w:rFonts w:hint="eastAsia" w:ascii="宋体" w:hAnsi="宋体"/>
          <w:b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注 </w:t>
      </w:r>
      <w:r>
        <w:rPr>
          <w:rFonts w:hint="eastAsia" w:ascii="宋体" w:hAnsi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同一项目获不同等级奖励学分者，只计最高分，不重复奖励。学生在校期内，可认定的证书类以外奖励学分累计不超过 6 学分。</w:t>
      </w:r>
    </w:p>
    <w:p w14:paraId="2A716D79">
      <w:pPr>
        <w:adjustRightInd w:val="0"/>
        <w:snapToGrid w:val="0"/>
        <w:spacing w:line="360" w:lineRule="auto"/>
        <w:ind w:firstLine="527" w:firstLineChars="250"/>
        <w:rPr>
          <w:rFonts w:ascii="宋体" w:hAnsi="宋体"/>
          <w:b/>
          <w:bCs/>
          <w:szCs w:val="21"/>
        </w:rPr>
      </w:pPr>
    </w:p>
    <w:p w14:paraId="5C818403">
      <w:pPr>
        <w:adjustRightInd w:val="0"/>
        <w:snapToGrid w:val="0"/>
        <w:spacing w:line="360" w:lineRule="auto"/>
        <w:ind w:firstLine="527" w:firstLineChars="25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2．考证要求</w:t>
      </w:r>
    </w:p>
    <w:p w14:paraId="6FB244BF">
      <w:pPr>
        <w:pStyle w:val="19"/>
        <w:numPr>
          <w:ilvl w:val="0"/>
          <w:numId w:val="2"/>
        </w:numPr>
        <w:adjustRightInd w:val="0"/>
        <w:snapToGrid w:val="0"/>
        <w:spacing w:line="360" w:lineRule="auto"/>
        <w:ind w:left="0" w:firstLine="420" w:firstLineChars="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普通话等级考试证书（二级乙等及以上）</w:t>
      </w:r>
    </w:p>
    <w:p w14:paraId="2504558A">
      <w:pPr>
        <w:pStyle w:val="19"/>
        <w:numPr>
          <w:ilvl w:val="0"/>
          <w:numId w:val="2"/>
        </w:numPr>
        <w:adjustRightInd w:val="0"/>
        <w:snapToGrid w:val="0"/>
        <w:spacing w:line="360" w:lineRule="auto"/>
        <w:ind w:left="0" w:firstLine="420" w:firstLineChars="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小学数学教师资格证书</w:t>
      </w:r>
      <w:r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* </w:t>
      </w:r>
    </w:p>
    <w:p w14:paraId="3252563E">
      <w:pPr>
        <w:pStyle w:val="19"/>
        <w:numPr>
          <w:ilvl w:val="0"/>
          <w:numId w:val="2"/>
        </w:numPr>
        <w:adjustRightInd w:val="0"/>
        <w:snapToGrid w:val="0"/>
        <w:spacing w:line="360" w:lineRule="auto"/>
        <w:ind w:left="0" w:firstLine="420" w:firstLineChars="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全国计算机等级考试证书（一级以上）☆</w:t>
      </w:r>
    </w:p>
    <w:p w14:paraId="1BC34A76">
      <w:pPr>
        <w:pStyle w:val="19"/>
        <w:numPr>
          <w:ilvl w:val="0"/>
          <w:numId w:val="2"/>
        </w:numPr>
        <w:adjustRightInd w:val="0"/>
        <w:snapToGrid w:val="0"/>
        <w:spacing w:line="360" w:lineRule="auto"/>
        <w:ind w:left="0" w:firstLine="420" w:firstLineChars="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学英语等级考试证书（鼓励报考）☆</w:t>
      </w:r>
    </w:p>
    <w:p w14:paraId="2E0C64B7">
      <w:pPr>
        <w:adjustRightInd w:val="0"/>
        <w:snapToGrid w:val="0"/>
        <w:spacing w:line="360" w:lineRule="auto"/>
        <w:ind w:firstLine="525" w:firstLineChars="250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注：*表示职业资格证书；☆表示职业技能等级证书。</w:t>
      </w:r>
    </w:p>
    <w:p w14:paraId="16F27190">
      <w:pPr>
        <w:widowControl/>
        <w:spacing w:line="360" w:lineRule="auto"/>
        <w:jc w:val="left"/>
        <w:rPr>
          <w:rFonts w:ascii="宋体" w:hAnsi="宋体"/>
          <w:szCs w:val="21"/>
        </w:rPr>
      </w:pPr>
    </w:p>
    <w:p w14:paraId="58F06EF4">
      <w:pPr>
        <w:spacing w:line="360" w:lineRule="auto"/>
        <w:ind w:firstLine="417" w:firstLineChars="198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八、课程设置及学时安排</w:t>
      </w:r>
    </w:p>
    <w:p w14:paraId="1ADD6E1F">
      <w:pPr>
        <w:spacing w:line="360" w:lineRule="exact"/>
        <w:ind w:firstLine="420"/>
        <w:outlineLvl w:val="0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（一）课程设置</w:t>
      </w:r>
    </w:p>
    <w:p w14:paraId="3BD648D2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本专业课程设置主要包括公共基础课程和专业课程。</w:t>
      </w:r>
    </w:p>
    <w:p w14:paraId="26B4648D">
      <w:pPr>
        <w:numPr>
          <w:ilvl w:val="0"/>
          <w:numId w:val="3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公共基础课程一般包括思想政治理论课、军事课、大学英语、体育、心理健康、就业指导、创新创业、职业素质等方面的课程或专题讲座（活动）。</w:t>
      </w:r>
    </w:p>
    <w:p w14:paraId="71823AE7">
      <w:pPr>
        <w:numPr>
          <w:ilvl w:val="0"/>
          <w:numId w:val="3"/>
        </w:num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专业课包括专业基础课程、专业核心课程和专业拓展课程，并涵盖有关实践性教学环节。</w:t>
      </w:r>
    </w:p>
    <w:p w14:paraId="2C1AAD46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专业基础课程：概率论与数理统计、统计学基础、统计法律法规、国民经济核算、经济学基础、统计预测和决策、大数据技术基础、数据库基础（mysql数据库）。</w:t>
      </w:r>
    </w:p>
    <w:p w14:paraId="16762BED">
      <w:pPr>
        <w:spacing w:line="400" w:lineRule="exact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专业核心课程：统计调查方法及应用、Python 语言智能应用、Excel 在统计中的应用、企业经济统计、SPSS统计软件分析及应用、</w:t>
      </w:r>
      <w:r>
        <w:rPr>
          <w:rFonts w:hint="eastAsia" w:ascii="宋体" w:hAnsi="宋体" w:cs="宋体"/>
          <w:color w:val="000000"/>
          <w:kern w:val="0"/>
          <w:szCs w:val="21"/>
          <w:lang w:bidi="ar"/>
        </w:rPr>
        <w:t>数据挖掘与分析</w:t>
      </w:r>
      <w:r>
        <w:rPr>
          <w:rFonts w:hint="eastAsia" w:ascii="宋体" w:hAnsi="宋体"/>
          <w:bCs/>
          <w:szCs w:val="21"/>
        </w:rPr>
        <w:t>。</w:t>
      </w:r>
    </w:p>
    <w:p w14:paraId="4E7FE03D">
      <w:p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专业拓展课：综合统计分析实训、会计技能训练、统计实务、职业素养与礼仪。</w:t>
      </w:r>
    </w:p>
    <w:p w14:paraId="1ACA6665">
      <w:pPr>
        <w:numPr>
          <w:ilvl w:val="0"/>
          <w:numId w:val="3"/>
        </w:numPr>
        <w:spacing w:line="400" w:lineRule="exact"/>
        <w:ind w:firstLine="42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专业核心课程名称及主要教学内容</w:t>
      </w:r>
    </w:p>
    <w:p w14:paraId="61C6E930">
      <w:pPr>
        <w:spacing w:line="400" w:lineRule="exac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      表2：专业核心课程内容</w:t>
      </w:r>
    </w:p>
    <w:tbl>
      <w:tblPr>
        <w:tblStyle w:val="9"/>
        <w:tblW w:w="95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303"/>
        <w:gridCol w:w="6632"/>
      </w:tblGrid>
      <w:tr w14:paraId="587A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663" w:type="dxa"/>
          </w:tcPr>
          <w:p w14:paraId="26ECAEA1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序号</w:t>
            </w:r>
          </w:p>
        </w:tc>
        <w:tc>
          <w:tcPr>
            <w:tcW w:w="2303" w:type="dxa"/>
          </w:tcPr>
          <w:p w14:paraId="60F4284F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专业核心课名称</w:t>
            </w:r>
          </w:p>
        </w:tc>
        <w:tc>
          <w:tcPr>
            <w:tcW w:w="6632" w:type="dxa"/>
          </w:tcPr>
          <w:p w14:paraId="11BB4607">
            <w:pPr>
              <w:spacing w:line="4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主要教学内容</w:t>
            </w:r>
          </w:p>
        </w:tc>
      </w:tr>
      <w:tr w14:paraId="6754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63" w:type="dxa"/>
            <w:vAlign w:val="center"/>
          </w:tcPr>
          <w:p w14:paraId="650A478B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2303" w:type="dxa"/>
            <w:vAlign w:val="center"/>
          </w:tcPr>
          <w:p w14:paraId="56678ACB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/>
              </w:rPr>
              <w:t>统计调查方法及应用</w:t>
            </w:r>
          </w:p>
        </w:tc>
        <w:tc>
          <w:tcPr>
            <w:tcW w:w="6632" w:type="dxa"/>
          </w:tcPr>
          <w:p w14:paraId="5D446BC8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统计理论、统计调查和统计整理的方法、描述性指标、时间序列统计 </w:t>
            </w:r>
          </w:p>
          <w:p w14:paraId="24E7AFEC">
            <w:pPr>
              <w:widowControl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指数、抽样推断、运用统计方法对统计数据进行整理和分析。</w:t>
            </w:r>
          </w:p>
        </w:tc>
      </w:tr>
      <w:tr w14:paraId="2123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63" w:type="dxa"/>
            <w:vAlign w:val="center"/>
          </w:tcPr>
          <w:p w14:paraId="3AC3FCE3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2303" w:type="dxa"/>
            <w:vAlign w:val="center"/>
          </w:tcPr>
          <w:p w14:paraId="0BC956D3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/>
              </w:rPr>
              <w:t>Python 语言智能应用</w:t>
            </w:r>
          </w:p>
        </w:tc>
        <w:tc>
          <w:tcPr>
            <w:tcW w:w="6632" w:type="dxa"/>
          </w:tcPr>
          <w:p w14:paraId="4614A5A2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词法部分、数据模型、执行模型、导入系统、表达系统、表达式、简单语句、复合语句。</w:t>
            </w:r>
          </w:p>
        </w:tc>
      </w:tr>
      <w:tr w14:paraId="6258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63" w:type="dxa"/>
            <w:vAlign w:val="center"/>
          </w:tcPr>
          <w:p w14:paraId="58F1CA67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2303" w:type="dxa"/>
            <w:vAlign w:val="center"/>
          </w:tcPr>
          <w:p w14:paraId="4EEEBE70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/>
              </w:rPr>
              <w:t>Excel 在统计中的应用</w:t>
            </w:r>
          </w:p>
        </w:tc>
        <w:tc>
          <w:tcPr>
            <w:tcW w:w="6632" w:type="dxa"/>
          </w:tcPr>
          <w:p w14:paraId="380CB38B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数据处理的基本技巧、利用EXCEL进行描述性统计分析、抽样与抽样 </w:t>
            </w:r>
          </w:p>
          <w:p w14:paraId="5A50A1B4"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分布、参数估计、假设检验、方差分析和回归分析。</w:t>
            </w:r>
          </w:p>
        </w:tc>
      </w:tr>
      <w:tr w14:paraId="3D104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63" w:type="dxa"/>
            <w:vAlign w:val="center"/>
          </w:tcPr>
          <w:p w14:paraId="722D0C0A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</w:p>
        </w:tc>
        <w:tc>
          <w:tcPr>
            <w:tcW w:w="2303" w:type="dxa"/>
            <w:vAlign w:val="center"/>
          </w:tcPr>
          <w:p w14:paraId="4533E128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企业经济统计</w:t>
            </w:r>
          </w:p>
        </w:tc>
        <w:tc>
          <w:tcPr>
            <w:tcW w:w="6632" w:type="dxa"/>
          </w:tcPr>
          <w:p w14:paraId="72518961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/>
              </w:rPr>
              <w:t>企业统计组织工作、企业产品统计、企业产值统计、企业产品统计、企业品种与质量统计、企业劳动工资统计、企业原材料与能源统计、企业固定资产统计、企业财务成本统计、企业经济效益统计</w:t>
            </w:r>
          </w:p>
        </w:tc>
      </w:tr>
      <w:tr w14:paraId="08D5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63" w:type="dxa"/>
            <w:vAlign w:val="center"/>
          </w:tcPr>
          <w:p w14:paraId="3408C91C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</w:p>
        </w:tc>
        <w:tc>
          <w:tcPr>
            <w:tcW w:w="2303" w:type="dxa"/>
            <w:vAlign w:val="center"/>
          </w:tcPr>
          <w:p w14:paraId="5017FDC1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SPSS统计软件分析及应用</w:t>
            </w:r>
          </w:p>
        </w:tc>
        <w:tc>
          <w:tcPr>
            <w:tcW w:w="6632" w:type="dxa"/>
          </w:tcPr>
          <w:p w14:paraId="436EB300">
            <w:pPr>
              <w:spacing w:line="36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SPSS的简介; 数据文件的建立; 数据的编辑; 描述性统计; 图表制作与编辑; 撰写调查报告等</w:t>
            </w:r>
          </w:p>
        </w:tc>
      </w:tr>
      <w:tr w14:paraId="7AEF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663" w:type="dxa"/>
            <w:vAlign w:val="center"/>
          </w:tcPr>
          <w:p w14:paraId="0DCC648D">
            <w:pPr>
              <w:spacing w:line="40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</w:t>
            </w:r>
          </w:p>
        </w:tc>
        <w:tc>
          <w:tcPr>
            <w:tcW w:w="2303" w:type="dxa"/>
            <w:vAlign w:val="center"/>
          </w:tcPr>
          <w:p w14:paraId="753A3150">
            <w:pPr>
              <w:widowControl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数据挖掘与分析</w:t>
            </w:r>
          </w:p>
        </w:tc>
        <w:tc>
          <w:tcPr>
            <w:tcW w:w="6632" w:type="dxa"/>
          </w:tcPr>
          <w:p w14:paraId="5482BDD3"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数据挖掘软件的使用方法、基本原理、一般程序和基本方法，具备一 </w:t>
            </w:r>
          </w:p>
          <w:p w14:paraId="36B939EB">
            <w:pPr>
              <w:widowControl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般的数据统计分析以及总结的能力。</w:t>
            </w:r>
          </w:p>
        </w:tc>
      </w:tr>
    </w:tbl>
    <w:p w14:paraId="5B96B729">
      <w:pPr>
        <w:spacing w:line="400" w:lineRule="exact"/>
        <w:rPr>
          <w:rFonts w:ascii="宋体" w:hAnsi="宋体"/>
          <w:b/>
        </w:rPr>
      </w:pPr>
    </w:p>
    <w:p w14:paraId="3FFD753D">
      <w:pPr>
        <w:spacing w:line="360" w:lineRule="exact"/>
        <w:ind w:firstLine="420"/>
        <w:outlineLvl w:val="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</w:rPr>
        <w:t>实践性教学环节主要包括顶岗实习、软件开发项目实训、社会实践、毕业项目综合实训、创新创业实践等。</w:t>
      </w:r>
    </w:p>
    <w:p w14:paraId="79877ABA">
      <w:pPr>
        <w:spacing w:line="360" w:lineRule="exact"/>
        <w:outlineLvl w:val="0"/>
        <w:rPr>
          <w:rFonts w:ascii="宋体" w:hAnsi="宋体"/>
          <w:bCs/>
        </w:rPr>
      </w:pPr>
    </w:p>
    <w:p w14:paraId="5D7C1C0B">
      <w:pPr>
        <w:numPr>
          <w:ilvl w:val="0"/>
          <w:numId w:val="4"/>
        </w:numPr>
        <w:spacing w:line="360" w:lineRule="auto"/>
        <w:ind w:left="521" w:leftChars="0" w:firstLine="0" w:firstLineChars="0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学时安排</w:t>
      </w:r>
    </w:p>
    <w:p w14:paraId="530F7AA8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宋体" w:hAnsi="宋体" w:eastAsia="宋体"/>
          <w:b/>
          <w:szCs w:val="21"/>
          <w:lang w:val="en-US" w:eastAsia="zh-CN"/>
        </w:rPr>
      </w:pPr>
      <w:r>
        <w:rPr>
          <w:rFonts w:hint="eastAsia" w:ascii="宋体" w:hAnsi="宋体"/>
          <w:bCs/>
        </w:rPr>
        <w:t>本专业总学时为2</w:t>
      </w:r>
      <w:r>
        <w:rPr>
          <w:rFonts w:hint="eastAsia" w:ascii="宋体" w:hAnsi="宋体"/>
          <w:bCs/>
          <w:lang w:val="en-US" w:eastAsia="zh-CN"/>
        </w:rPr>
        <w:t>522</w:t>
      </w:r>
      <w:r>
        <w:rPr>
          <w:rFonts w:hint="eastAsia" w:ascii="宋体" w:hAnsi="宋体"/>
          <w:bCs/>
        </w:rPr>
        <w:t>学时，其中实践性教学学时为12</w:t>
      </w:r>
      <w:r>
        <w:rPr>
          <w:rFonts w:hint="eastAsia" w:ascii="宋体" w:hAnsi="宋体"/>
          <w:bCs/>
          <w:lang w:val="en-US" w:eastAsia="zh-CN"/>
        </w:rPr>
        <w:t>67</w:t>
      </w:r>
      <w:r>
        <w:rPr>
          <w:rFonts w:hint="eastAsia" w:ascii="宋体" w:hAnsi="宋体"/>
          <w:bCs/>
        </w:rPr>
        <w:t>学时，占总学时的5</w:t>
      </w:r>
      <w:r>
        <w:rPr>
          <w:rFonts w:hint="eastAsia" w:ascii="宋体" w:hAnsi="宋体"/>
          <w:bCs/>
          <w:lang w:val="en-US" w:eastAsia="zh-CN"/>
        </w:rPr>
        <w:t>0</w:t>
      </w:r>
      <w:r>
        <w:rPr>
          <w:rFonts w:hint="eastAsia" w:ascii="宋体" w:hAnsi="宋体"/>
          <w:bCs/>
        </w:rPr>
        <w:t>.</w:t>
      </w:r>
      <w:r>
        <w:rPr>
          <w:rFonts w:hint="eastAsia" w:ascii="宋体" w:hAnsi="宋体"/>
          <w:bCs/>
          <w:lang w:val="en-US" w:eastAsia="zh-CN"/>
        </w:rPr>
        <w:t>24</w:t>
      </w:r>
      <w:r>
        <w:rPr>
          <w:rFonts w:hint="eastAsia" w:ascii="宋体" w:hAnsi="宋体"/>
          <w:bCs/>
        </w:rPr>
        <w:t>% 。其中，顶岗实习为6个月，约</w:t>
      </w:r>
      <w:r>
        <w:rPr>
          <w:rFonts w:ascii="宋体" w:hAnsi="宋体"/>
          <w:bCs/>
        </w:rPr>
        <w:t>420</w:t>
      </w:r>
      <w:r>
        <w:rPr>
          <w:rFonts w:hint="eastAsia" w:ascii="宋体" w:hAnsi="宋体"/>
          <w:bCs/>
        </w:rPr>
        <w:t>学时</w:t>
      </w:r>
      <w:r>
        <w:rPr>
          <w:rFonts w:hint="eastAsia" w:ascii="宋体" w:hAnsi="宋体"/>
          <w:bCs/>
          <w:lang w:eastAsia="zh-CN"/>
        </w:rPr>
        <w:t>。</w:t>
      </w:r>
    </w:p>
    <w:tbl>
      <w:tblPr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91"/>
        <w:gridCol w:w="1083"/>
        <w:gridCol w:w="670"/>
        <w:gridCol w:w="1346"/>
        <w:gridCol w:w="721"/>
        <w:gridCol w:w="1506"/>
        <w:gridCol w:w="721"/>
        <w:gridCol w:w="1208"/>
      </w:tblGrid>
      <w:tr w14:paraId="1C23B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3F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理论与实践教学分配及比例表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0974FB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5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A2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5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39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97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7D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占总学分的百分比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5A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E259A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D7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5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98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72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16B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9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11.97%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6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378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31.51%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96B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F6628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FF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014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A83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F8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B1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4F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21.93%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9E5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B5A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FF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509E20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46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B9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AE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2A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B2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DB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28.95%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54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E5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3BE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3F19F0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E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E34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CCEF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B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1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88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23.16%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D83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A0B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518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D0845B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E1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77D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5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B0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8F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6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7.65%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E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A5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77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1179DC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66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01EF2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AE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A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5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3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3.49%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23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0C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F4C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1423A5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B2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48AF7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10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BA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C9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F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01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2.74%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115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603BDD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06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EAA4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FD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342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23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D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1.67%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F630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53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C9E7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A36F94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B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8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BE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13CB8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A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6F32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970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5A753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BA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A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37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76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1255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28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5A3C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EAD410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31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5E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A4B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3E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1267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2A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79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7537C1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3D6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4B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2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3577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53C0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094FA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3025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C835B4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961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55D998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9231E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915968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BE79C2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709EB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20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制表人：钟妮珊</w:t>
            </w:r>
          </w:p>
        </w:tc>
      </w:tr>
    </w:tbl>
    <w:p w14:paraId="326D21C3">
      <w:pPr>
        <w:adjustRightInd w:val="0"/>
        <w:snapToGrid w:val="0"/>
        <w:spacing w:line="360" w:lineRule="auto"/>
        <w:ind w:firstLine="527" w:firstLineChars="25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九、教学基本条件</w:t>
      </w:r>
    </w:p>
    <w:p w14:paraId="1FB50484">
      <w:pPr>
        <w:spacing w:line="360" w:lineRule="auto"/>
        <w:ind w:firstLine="422" w:firstLineChars="200"/>
        <w:outlineLvl w:val="0"/>
        <w:rPr>
          <w:rStyle w:val="12"/>
          <w:rFonts w:ascii="宋体" w:hAnsi="宋体"/>
          <w:szCs w:val="21"/>
        </w:rPr>
      </w:pPr>
      <w:r>
        <w:rPr>
          <w:rStyle w:val="12"/>
          <w:rFonts w:hint="eastAsia" w:ascii="宋体" w:hAnsi="宋体"/>
          <w:szCs w:val="21"/>
        </w:rPr>
        <w:t>（一）教师队伍</w:t>
      </w:r>
    </w:p>
    <w:p w14:paraId="7E7B0B26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1.专任教师</w:t>
      </w:r>
    </w:p>
    <w:p w14:paraId="5167B0C8">
      <w:pPr>
        <w:spacing w:line="400" w:lineRule="exact"/>
        <w:ind w:firstLine="420"/>
        <w:jc w:val="center"/>
        <w:rPr>
          <w:rFonts w:ascii="宋体" w:hAnsi="宋体"/>
          <w:szCs w:val="21"/>
        </w:rPr>
      </w:pPr>
    </w:p>
    <w:p w14:paraId="11F5CBCA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表4：专任教师一览表</w:t>
      </w:r>
    </w:p>
    <w:tbl>
      <w:tblPr>
        <w:tblStyle w:val="9"/>
        <w:tblW w:w="8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44"/>
        <w:gridCol w:w="674"/>
        <w:gridCol w:w="734"/>
        <w:gridCol w:w="148"/>
        <w:gridCol w:w="1027"/>
        <w:gridCol w:w="211"/>
        <w:gridCol w:w="789"/>
        <w:gridCol w:w="264"/>
        <w:gridCol w:w="336"/>
        <w:gridCol w:w="479"/>
        <w:gridCol w:w="321"/>
        <w:gridCol w:w="678"/>
        <w:gridCol w:w="226"/>
        <w:gridCol w:w="149"/>
        <w:gridCol w:w="1341"/>
      </w:tblGrid>
      <w:tr w14:paraId="78E24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7C3C6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E500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1193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职称、职务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1832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学历学位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0B0F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是否双师</w:t>
            </w:r>
          </w:p>
        </w:tc>
      </w:tr>
      <w:tr w14:paraId="092C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6155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E6D2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罗庆仙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F096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副教授、党总支书记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874C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本科、学士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4F79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3E79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70DF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EF72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刘峥嵘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B43E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副教授、财务部部长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9582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本科、硕士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88D0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AE0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3D32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8640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马磊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20063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教授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5B75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8967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52B0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B1EF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01A0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曾春燕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3B48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副教授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21A4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F13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1EF44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5FCD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1EDE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陈锦玲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0349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</w:rPr>
              <w:t>副教授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E933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本科、学士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2A9A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4913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DC33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6F9B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梁会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58D3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713E8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3634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4D7DD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DFEC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4314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徐苏柳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4070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D756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DA133">
            <w:pPr>
              <w:adjustRightInd w:val="0"/>
              <w:snapToGrid w:val="0"/>
              <w:ind w:firstLine="552" w:firstLineChars="263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7D5F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1487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679A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涂康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646A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12A9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本科、硕士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CC0D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32EBB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5430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8BB2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杜玉坤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0CB0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副教授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A32D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D7E1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5AD73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7855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31A5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孙营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7781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6F26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F4B43">
            <w:pPr>
              <w:adjustRightInd w:val="0"/>
              <w:snapToGrid w:val="0"/>
              <w:ind w:firstLine="552" w:firstLineChars="263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164F0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0471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491A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张建梅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039785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88E79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本科、学士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EAAE6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3EFFB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1336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E688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黎艺婵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C3EEE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72C64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EE2C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3A5B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9033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DE559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梁大成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444F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7D749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ACD8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009C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404E0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BF5EB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钟妮珊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60B9E">
            <w:pPr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87EAC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050E5">
            <w:pPr>
              <w:adjustRightInd w:val="0"/>
              <w:snapToGrid w:val="0"/>
              <w:ind w:firstLine="552" w:firstLineChars="263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</w:tr>
      <w:tr w14:paraId="276B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2DE5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15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7793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杨婷梅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2AD6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3F2C3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50FC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4976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6A16D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BB25A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龙能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62C24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84E41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EB9A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06A3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7CE81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A02C2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廖嫒嫒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8826C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0610B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7CDE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是</w:t>
            </w:r>
          </w:p>
        </w:tc>
      </w:tr>
      <w:tr w14:paraId="0893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4FDD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18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AF3E7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吴星幻</w:t>
            </w:r>
          </w:p>
        </w:tc>
        <w:tc>
          <w:tcPr>
            <w:tcW w:w="35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BB3BF"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助教</w:t>
            </w:r>
          </w:p>
        </w:tc>
        <w:tc>
          <w:tcPr>
            <w:tcW w:w="17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B5D28">
            <w:pPr>
              <w:tabs>
                <w:tab w:val="center" w:pos="789"/>
              </w:tabs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>研究生、硕士</w:t>
            </w:r>
          </w:p>
        </w:tc>
        <w:tc>
          <w:tcPr>
            <w:tcW w:w="1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1BF4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</w:tr>
      <w:tr w14:paraId="7F68B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79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70E89">
            <w:pPr>
              <w:adjustRightInd w:val="0"/>
              <w:snapToGrid w:val="0"/>
              <w:ind w:firstLine="552" w:firstLineChars="263"/>
              <w:rPr>
                <w:rFonts w:ascii="宋体" w:hAnsi="宋体" w:cs="宋体"/>
                <w:szCs w:val="21"/>
              </w:rPr>
            </w:pPr>
          </w:p>
          <w:p w14:paraId="5A65688D">
            <w:pPr>
              <w:adjustRightInd w:val="0"/>
              <w:snapToGrid w:val="0"/>
              <w:ind w:firstLine="552" w:firstLineChars="263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表5：教师结构表</w:t>
            </w:r>
          </w:p>
        </w:tc>
      </w:tr>
      <w:tr w14:paraId="41ED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2EA1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职称结构</w:t>
            </w:r>
          </w:p>
        </w:tc>
        <w:tc>
          <w:tcPr>
            <w:tcW w:w="2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C5C8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高级</w:t>
            </w:r>
          </w:p>
        </w:tc>
        <w:tc>
          <w:tcPr>
            <w:tcW w:w="21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6D33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中级</w:t>
            </w:r>
          </w:p>
        </w:tc>
        <w:tc>
          <w:tcPr>
            <w:tcW w:w="23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241A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初级</w:t>
            </w:r>
          </w:p>
        </w:tc>
      </w:tr>
      <w:tr w14:paraId="64D4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9ED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B07B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4786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C282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CB84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7704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A91B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3F299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73499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9B9C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1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A071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33.33%</w:t>
            </w: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E4BA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11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A1BA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27.78%</w:t>
            </w:r>
          </w:p>
        </w:tc>
        <w:tc>
          <w:tcPr>
            <w:tcW w:w="1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353B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F9E5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38.89</w:t>
            </w:r>
            <w:r>
              <w:rPr>
                <w:rFonts w:ascii="宋体" w:hAnsi="宋体" w:cs="宋体"/>
                <w:szCs w:val="21"/>
              </w:rPr>
              <w:t>%</w:t>
            </w:r>
          </w:p>
        </w:tc>
      </w:tr>
      <w:tr w14:paraId="35D6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4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787C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年龄结构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FCB1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35岁以下</w:t>
            </w: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FBC6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35-45岁</w:t>
            </w: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B7CF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45岁以上</w:t>
            </w:r>
          </w:p>
        </w:tc>
      </w:tr>
      <w:tr w14:paraId="236A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E7320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3343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6240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0F8E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A45C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2FD0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15EB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1157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9F43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9A78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DC0B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22.2%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7D77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1008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66.6%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D821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4D11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11.1%</w:t>
            </w:r>
          </w:p>
        </w:tc>
      </w:tr>
      <w:tr w14:paraId="6A3BA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4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356A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学位结构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09F3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博士</w:t>
            </w: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994B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硕士（含在读）</w:t>
            </w:r>
          </w:p>
        </w:tc>
        <w:tc>
          <w:tcPr>
            <w:tcW w:w="27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B1B1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学士</w:t>
            </w:r>
          </w:p>
        </w:tc>
      </w:tr>
      <w:tr w14:paraId="72BCD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8D8C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0AC9E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B2C4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F460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EACB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50CC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8D4E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</w:tr>
      <w:tr w14:paraId="12D4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A80C0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A2E9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99BA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0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58F9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17A1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77.8%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632C7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17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6D562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44.4%</w:t>
            </w:r>
          </w:p>
        </w:tc>
      </w:tr>
      <w:tr w14:paraId="7476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4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7A4A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双师素质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4D83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</w:t>
            </w: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864C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否</w:t>
            </w:r>
          </w:p>
        </w:tc>
        <w:tc>
          <w:tcPr>
            <w:tcW w:w="27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E8D7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0396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DE4DC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1761C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CCDC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E978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78F73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7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70938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6A5E8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C460F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8585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16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0A4A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88.88%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0E8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7F4110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11.11%</w:t>
            </w:r>
          </w:p>
        </w:tc>
        <w:tc>
          <w:tcPr>
            <w:tcW w:w="27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FCB7E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3BA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4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C5E08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行业企业经历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0446D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有</w:t>
            </w:r>
          </w:p>
        </w:tc>
        <w:tc>
          <w:tcPr>
            <w:tcW w:w="2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DFC8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无</w:t>
            </w:r>
          </w:p>
        </w:tc>
        <w:tc>
          <w:tcPr>
            <w:tcW w:w="27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E0609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8003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F20B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6E1BF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F515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0B20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8EB5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比例</w:t>
            </w:r>
          </w:p>
        </w:tc>
        <w:tc>
          <w:tcPr>
            <w:tcW w:w="27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4850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798E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4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C30A3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29CFA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D12C4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61.1%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5AAEB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10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AB851">
            <w:pPr>
              <w:adjustRightInd w:val="0"/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38.9%</w:t>
            </w:r>
          </w:p>
        </w:tc>
        <w:tc>
          <w:tcPr>
            <w:tcW w:w="2715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D9EB7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</w:tbl>
    <w:p w14:paraId="04BC6175">
      <w:pPr>
        <w:numPr>
          <w:ilvl w:val="0"/>
          <w:numId w:val="5"/>
        </w:numPr>
        <w:spacing w:line="360" w:lineRule="auto"/>
        <w:ind w:firstLine="422" w:firstLineChars="200"/>
        <w:outlineLvl w:val="0"/>
        <w:rPr>
          <w:rStyle w:val="12"/>
          <w:rFonts w:ascii="宋体" w:hAnsi="宋体"/>
          <w:szCs w:val="21"/>
        </w:rPr>
      </w:pPr>
      <w:r>
        <w:rPr>
          <w:rStyle w:val="12"/>
          <w:rFonts w:hint="eastAsia" w:ascii="宋体" w:hAnsi="宋体"/>
          <w:szCs w:val="21"/>
        </w:rPr>
        <w:t>教学设施</w:t>
      </w:r>
    </w:p>
    <w:p w14:paraId="49F36D24">
      <w:pPr>
        <w:spacing w:line="400" w:lineRule="exact"/>
        <w:ind w:firstLine="420"/>
        <w:rPr>
          <w:rFonts w:ascii="宋体" w:hAnsi="宋体"/>
          <w:bCs/>
          <w:position w:val="6"/>
        </w:rPr>
      </w:pPr>
      <w:r>
        <w:rPr>
          <w:rFonts w:hint="eastAsia" w:ascii="宋体" w:hAnsi="宋体"/>
          <w:bCs/>
          <w:position w:val="6"/>
        </w:rPr>
        <w:t>本专业有校内实训基地两个，分别是ERP 沙盘演练实训室和统计与大数据分析实训室，可以提供所有上机实训。具有稳定的校外实训基地，能够开展各类调研、数据处理和报告撰写等实训活动，实训设备齐全，可以提供学生校外真实项目实训。</w:t>
      </w:r>
    </w:p>
    <w:p w14:paraId="1AAEDB4B">
      <w:pPr>
        <w:spacing w:line="420" w:lineRule="exact"/>
        <w:ind w:firstLine="420" w:firstLineChars="200"/>
        <w:rPr>
          <w:rFonts w:ascii="宋体" w:hAnsi="宋体"/>
          <w:bCs/>
          <w:position w:val="6"/>
        </w:rPr>
      </w:pPr>
    </w:p>
    <w:p w14:paraId="411F7E39">
      <w:pPr>
        <w:spacing w:line="420" w:lineRule="exact"/>
        <w:ind w:firstLine="840" w:firstLineChars="400"/>
        <w:rPr>
          <w:rFonts w:ascii="宋体" w:hAnsi="宋体"/>
          <w:position w:val="6"/>
        </w:rPr>
      </w:pPr>
      <w:r>
        <w:rPr>
          <w:rFonts w:hint="eastAsia" w:ascii="宋体" w:hAnsi="宋体"/>
          <w:bCs/>
          <w:position w:val="6"/>
        </w:rPr>
        <w:t>表6：校内实训基地一览表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516"/>
        <w:gridCol w:w="708"/>
        <w:gridCol w:w="1821"/>
        <w:gridCol w:w="2184"/>
        <w:gridCol w:w="2073"/>
      </w:tblGrid>
      <w:tr w14:paraId="10D71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10" w:type="dxa"/>
            <w:vAlign w:val="center"/>
          </w:tcPr>
          <w:p w14:paraId="703A307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516" w:type="dxa"/>
            <w:vAlign w:val="center"/>
          </w:tcPr>
          <w:p w14:paraId="036224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实训室名称</w:t>
            </w:r>
          </w:p>
        </w:tc>
        <w:tc>
          <w:tcPr>
            <w:tcW w:w="708" w:type="dxa"/>
            <w:vAlign w:val="center"/>
          </w:tcPr>
          <w:p w14:paraId="6717FE3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位置</w:t>
            </w:r>
          </w:p>
        </w:tc>
        <w:tc>
          <w:tcPr>
            <w:tcW w:w="1821" w:type="dxa"/>
            <w:vAlign w:val="center"/>
          </w:tcPr>
          <w:p w14:paraId="1E81103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教学科目</w:t>
            </w:r>
          </w:p>
        </w:tc>
        <w:tc>
          <w:tcPr>
            <w:tcW w:w="2184" w:type="dxa"/>
            <w:vAlign w:val="center"/>
          </w:tcPr>
          <w:p w14:paraId="58583F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实验设备</w:t>
            </w:r>
          </w:p>
        </w:tc>
        <w:tc>
          <w:tcPr>
            <w:tcW w:w="2073" w:type="dxa"/>
            <w:vAlign w:val="center"/>
          </w:tcPr>
          <w:p w14:paraId="4C771E6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教学项目</w:t>
            </w:r>
          </w:p>
        </w:tc>
      </w:tr>
      <w:tr w14:paraId="1A0A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010" w:type="dxa"/>
            <w:vAlign w:val="center"/>
          </w:tcPr>
          <w:p w14:paraId="26137E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516" w:type="dxa"/>
            <w:vAlign w:val="center"/>
          </w:tcPr>
          <w:p w14:paraId="54F150A7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统计与大数据分析实训室</w:t>
            </w:r>
          </w:p>
        </w:tc>
        <w:tc>
          <w:tcPr>
            <w:tcW w:w="708" w:type="dxa"/>
            <w:vAlign w:val="center"/>
          </w:tcPr>
          <w:p w14:paraId="48B00184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师训楼508</w:t>
            </w:r>
          </w:p>
        </w:tc>
        <w:tc>
          <w:tcPr>
            <w:tcW w:w="1821" w:type="dxa"/>
            <w:vAlign w:val="center"/>
          </w:tcPr>
          <w:p w14:paraId="2336FF8B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统计与大数据分析、</w:t>
            </w:r>
          </w:p>
          <w:p w14:paraId="0FF64221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SPSS统计软件分析及应用、</w:t>
            </w:r>
          </w:p>
          <w:p w14:paraId="75539C2A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数据挖掘与分析、Python语言智能应用、</w:t>
            </w:r>
          </w:p>
          <w:p w14:paraId="239AEF98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Excel 在统计中的应用。</w:t>
            </w:r>
          </w:p>
        </w:tc>
        <w:tc>
          <w:tcPr>
            <w:tcW w:w="2184" w:type="dxa"/>
            <w:vAlign w:val="center"/>
          </w:tcPr>
          <w:p w14:paraId="09E66946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电脑60 台以上、办公软件、SPSS 软件、投影仪、服务器和交换机、空调</w:t>
            </w:r>
          </w:p>
        </w:tc>
        <w:tc>
          <w:tcPr>
            <w:tcW w:w="2073" w:type="dxa"/>
            <w:vAlign w:val="center"/>
          </w:tcPr>
          <w:p w14:paraId="676147B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79A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1" w:hRule="atLeast"/>
          <w:jc w:val="center"/>
        </w:trPr>
        <w:tc>
          <w:tcPr>
            <w:tcW w:w="1010" w:type="dxa"/>
            <w:vAlign w:val="center"/>
          </w:tcPr>
          <w:p w14:paraId="13C91AB3"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  <w:p w14:paraId="2511F2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16" w:type="dxa"/>
            <w:vAlign w:val="center"/>
          </w:tcPr>
          <w:p w14:paraId="3C9CC85D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智能财务云共享中心 </w:t>
            </w:r>
          </w:p>
        </w:tc>
        <w:tc>
          <w:tcPr>
            <w:tcW w:w="708" w:type="dxa"/>
            <w:vAlign w:val="center"/>
          </w:tcPr>
          <w:p w14:paraId="65BF7777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师训楼418</w:t>
            </w:r>
          </w:p>
        </w:tc>
        <w:tc>
          <w:tcPr>
            <w:tcW w:w="1821" w:type="dxa"/>
            <w:vAlign w:val="center"/>
          </w:tcPr>
          <w:p w14:paraId="7D570EB5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</w:p>
          <w:p w14:paraId="0FDC26F9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企业经济统计、</w:t>
            </w:r>
          </w:p>
          <w:p w14:paraId="0BCFE39F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统计实务、</w:t>
            </w:r>
          </w:p>
          <w:p w14:paraId="415BF0FA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综合统计分析实训、</w:t>
            </w:r>
          </w:p>
          <w:p w14:paraId="7F3872B8">
            <w:pPr>
              <w:spacing w:line="400" w:lineRule="exact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>会计技能训练</w:t>
            </w:r>
          </w:p>
        </w:tc>
        <w:tc>
          <w:tcPr>
            <w:tcW w:w="2184" w:type="dxa"/>
            <w:vAlign w:val="center"/>
          </w:tcPr>
          <w:p w14:paraId="3395FD1F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配备电脑、投影仪、空调、扩音设备、电脑等硬件设施，互联网接入有线和WIFI 环境；同时配备有财会商圈、财务决策等教学件。 </w:t>
            </w:r>
          </w:p>
          <w:p w14:paraId="1C1C66E8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  <w:r>
              <w:rPr>
                <w:rFonts w:hint="eastAsia" w:ascii="宋体" w:hAnsi="宋体"/>
                <w:bCs/>
                <w:position w:val="6"/>
              </w:rPr>
              <w:t xml:space="preserve">支持财务会计基础、管理会计基础、出纳业务操作、大数据财务分析、企业内部控制、会计信息系统应用、企业纳税实务、税费计算与申报等课程实训。 </w:t>
            </w:r>
          </w:p>
          <w:p w14:paraId="08A48131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</w:p>
          <w:p w14:paraId="29FCDD0A">
            <w:pPr>
              <w:spacing w:line="400" w:lineRule="exact"/>
              <w:ind w:firstLine="420"/>
              <w:rPr>
                <w:rFonts w:ascii="宋体" w:hAnsi="宋体"/>
                <w:bCs/>
                <w:position w:val="6"/>
              </w:rPr>
            </w:pPr>
          </w:p>
        </w:tc>
        <w:tc>
          <w:tcPr>
            <w:tcW w:w="2073" w:type="dxa"/>
            <w:vAlign w:val="center"/>
          </w:tcPr>
          <w:p w14:paraId="64B890D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15633E93">
      <w:pPr>
        <w:spacing w:line="420" w:lineRule="exact"/>
        <w:ind w:left="420"/>
        <w:rPr>
          <w:rFonts w:ascii="宋体" w:hAnsi="宋体"/>
          <w:position w:val="6"/>
        </w:rPr>
      </w:pPr>
    </w:p>
    <w:p w14:paraId="1B645051">
      <w:pPr>
        <w:spacing w:line="360" w:lineRule="auto"/>
        <w:ind w:firstLine="422" w:firstLineChars="200"/>
        <w:outlineLvl w:val="0"/>
        <w:rPr>
          <w:rStyle w:val="12"/>
          <w:rFonts w:ascii="宋体" w:hAnsi="宋体"/>
          <w:szCs w:val="21"/>
        </w:rPr>
      </w:pPr>
      <w:r>
        <w:rPr>
          <w:rStyle w:val="12"/>
          <w:rFonts w:hint="eastAsia" w:ascii="宋体" w:hAnsi="宋体"/>
          <w:szCs w:val="21"/>
        </w:rPr>
        <w:t>（三）教学资源</w:t>
      </w:r>
    </w:p>
    <w:p w14:paraId="7269EEC4">
      <w:p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1. 教材选用基本要求 </w:t>
      </w:r>
    </w:p>
    <w:p w14:paraId="64F9D002">
      <w:pPr>
        <w:spacing w:line="400" w:lineRule="exact"/>
        <w:ind w:firstLine="420" w:firstLineChars="20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按照国家规定选用优质教材。教材由专业教师、行业专家和教研人员等参与选用。学校有完善的教材选用制度，优先从国家和省两级规划教材目录中选用教材，鼓励与行业企业合作开发特色鲜明的专业课校本教材。 </w:t>
      </w:r>
    </w:p>
    <w:p w14:paraId="5EADD1D7">
      <w:p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2. 图书文献配备基本要求 </w:t>
      </w:r>
    </w:p>
    <w:p w14:paraId="4D57FB46">
      <w:p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图书文献配备能满足人才培养、专业建设、教科研等工作的需要，方便师生查询、借阅。专业类图书主要包括：统计法规、行业标准、行业规范、市场调查与分析、会计学原 理、财务会计等；SPSS 软件应用、统计基础、Excel 在统计中的应用、预测与决策和大数据分析等专业技术类图书和实务案例类图书。 </w:t>
      </w:r>
    </w:p>
    <w:p w14:paraId="434F81EC">
      <w:pPr>
        <w:spacing w:line="400" w:lineRule="exact"/>
        <w:ind w:firstLine="420"/>
        <w:rPr>
          <w:rFonts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3. 数字教学资源配置基本要求 </w:t>
      </w:r>
    </w:p>
    <w:p w14:paraId="5C381E3D">
      <w:pPr>
        <w:spacing w:line="400" w:lineRule="exact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建设、配备与本专业有关的专业文献、音视频资料、数字电子教材、教辅材料、应用软件、教学课件、案例库、行业政策法规资料、就业创业信息等数字专业教学资源。资源应种类丰富、形式多样、使用便捷、动态更新，能满足教学要求。 </w:t>
      </w:r>
    </w:p>
    <w:p w14:paraId="6FECEC63">
      <w:pPr>
        <w:spacing w:line="400" w:lineRule="exact"/>
        <w:ind w:firstLine="421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十、质量保障</w:t>
      </w:r>
    </w:p>
    <w:p w14:paraId="6F35972F">
      <w:pPr>
        <w:spacing w:line="400" w:lineRule="exact"/>
        <w:ind w:firstLine="421"/>
        <w:rPr>
          <w:rFonts w:ascii="宋体" w:hAnsi="宋体"/>
          <w:szCs w:val="21"/>
        </w:rPr>
      </w:pPr>
      <w:r>
        <w:rPr>
          <w:rFonts w:hint="eastAsia" w:ascii="宋体" w:hAnsi="宋体"/>
          <w:bCs/>
          <w:szCs w:val="21"/>
        </w:rPr>
        <w:t>（一）需遵循专业建设和教学过程质量监控机制，主要课程以企业标准进行课程评价，对教学主要环节要有严格的质量要求和标准，对教学实施、过程监控、质量评价要进行有效的管理，以达成人才培养规格。</w:t>
      </w:r>
    </w:p>
    <w:p w14:paraId="75F5E4C6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（二）建立健全巡课和听课制度，严明教学纪律和课堂纪律，对日常教学组织加强管理。</w:t>
      </w:r>
    </w:p>
    <w:p w14:paraId="75568620">
      <w:pPr>
        <w:spacing w:line="400" w:lineRule="exact"/>
        <w:ind w:firstLine="421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（三）建立毕业生跟踪反馈机制和社会评价机制，定期评价人才培养质量和培养目标的达成情况。</w:t>
      </w:r>
    </w:p>
    <w:p w14:paraId="3725BA37">
      <w:pPr>
        <w:adjustRightInd w:val="0"/>
        <w:snapToGrid w:val="0"/>
        <w:spacing w:before="156" w:beforeLines="50" w:line="360" w:lineRule="auto"/>
        <w:ind w:firstLine="42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Cs/>
          <w:szCs w:val="21"/>
        </w:rPr>
        <w:t>（四）要充分利用评价分析结构有效改进专业教学，加强专业建设，持续提高人才培养质量。</w:t>
      </w:r>
    </w:p>
    <w:p w14:paraId="06B382EC">
      <w:pPr>
        <w:adjustRightInd w:val="0"/>
        <w:snapToGrid w:val="0"/>
        <w:spacing w:before="156" w:beforeLines="50" w:line="360" w:lineRule="auto"/>
        <w:ind w:firstLine="420"/>
        <w:rPr>
          <w:rFonts w:ascii="宋体" w:hAnsi="宋体"/>
          <w:b/>
          <w:bCs/>
          <w:szCs w:val="21"/>
        </w:rPr>
      </w:pPr>
    </w:p>
    <w:p w14:paraId="6E66EF72">
      <w:pPr>
        <w:spacing w:line="360" w:lineRule="exact"/>
        <w:outlineLvl w:val="0"/>
        <w:rPr>
          <w:rFonts w:ascii="仿宋_GB2312"/>
        </w:rPr>
      </w:pPr>
      <w:r>
        <w:rPr>
          <w:rFonts w:hint="eastAsia" w:ascii="宋体" w:hAnsi="宋体" w:cs="宋体"/>
          <w:b/>
        </w:rPr>
        <w:t>十一、教学进程安排</w:t>
      </w:r>
    </w:p>
    <w:p w14:paraId="7DFCE83D">
      <w:pPr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       </w:t>
      </w:r>
      <w:r>
        <w:rPr>
          <w:rFonts w:hint="eastAsia" w:ascii="宋体" w:hAnsi="宋体"/>
          <w:szCs w:val="21"/>
        </w:rPr>
        <w:t>1．综合素质课教学计划表（见附件3）</w:t>
      </w:r>
    </w:p>
    <w:p w14:paraId="6A6667DD">
      <w:pPr>
        <w:ind w:firstLine="735" w:firstLineChars="35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2.专业课教学计划表（见附件3-1）</w:t>
      </w:r>
    </w:p>
    <w:p w14:paraId="75AB854A">
      <w:pPr>
        <w:ind w:firstLine="735" w:firstLineChars="35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3.实践教学计划表（见附件3-2）</w:t>
      </w:r>
    </w:p>
    <w:p w14:paraId="50255953">
      <w:pPr>
        <w:adjustRightInd w:val="0"/>
        <w:snapToGrid w:val="0"/>
        <w:spacing w:line="360" w:lineRule="auto"/>
        <w:ind w:firstLine="735" w:firstLineChars="35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4．理论与实践教学分配比例表（见附件3-3）</w:t>
      </w:r>
    </w:p>
    <w:p w14:paraId="58728AD8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3D455A62">
      <w:pPr>
        <w:adjustRightInd w:val="0"/>
        <w:snapToGrid w:val="0"/>
        <w:spacing w:line="360" w:lineRule="auto"/>
        <w:jc w:val="center"/>
        <w:rPr>
          <w:rFonts w:ascii="宋体" w:hAnsi="宋体"/>
          <w:b/>
          <w:bCs/>
          <w:szCs w:val="21"/>
        </w:rPr>
      </w:pPr>
    </w:p>
    <w:p w14:paraId="7CE7BD72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18225FC5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75563CFF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250F0C64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3A5EFE4F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61DB9DA3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113A9638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79400A18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14BD9030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139D1198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附件3</w:t>
      </w:r>
    </w:p>
    <w:p w14:paraId="4249C778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  <w:r>
        <w:t xml:space="preserve"> </w:t>
      </w:r>
      <w:bookmarkStart w:id="0" w:name="_GoBack"/>
      <w:r>
        <w:drawing>
          <wp:inline distT="0" distB="0" distL="114300" distR="114300">
            <wp:extent cx="5147310" cy="8582660"/>
            <wp:effectExtent l="0" t="0" r="1524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7310" cy="858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56AF9CB">
      <w:pPr>
        <w:adjustRightInd w:val="0"/>
        <w:snapToGrid w:val="0"/>
        <w:spacing w:line="360" w:lineRule="auto"/>
        <w:jc w:val="left"/>
      </w:pPr>
      <w:r>
        <w:rPr>
          <w:rFonts w:hint="eastAsia" w:ascii="宋体" w:hAnsi="宋体"/>
          <w:b/>
          <w:bCs/>
          <w:szCs w:val="21"/>
        </w:rPr>
        <w:t>附件3-1</w:t>
      </w:r>
      <w:r>
        <w:t xml:space="preserve"> </w:t>
      </w:r>
    </w:p>
    <w:p w14:paraId="39923697">
      <w:pPr>
        <w:adjustRightInd w:val="0"/>
        <w:snapToGrid w:val="0"/>
        <w:spacing w:line="360" w:lineRule="auto"/>
        <w:jc w:val="left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971540" cy="5782310"/>
            <wp:effectExtent l="0" t="0" r="1016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578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3D8F4">
      <w:pPr>
        <w:adjustRightInd w:val="0"/>
        <w:snapToGrid w:val="0"/>
        <w:spacing w:line="360" w:lineRule="auto"/>
        <w:jc w:val="left"/>
      </w:pPr>
    </w:p>
    <w:p w14:paraId="54E6EEEE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72BEEC0C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0DAD1CF9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41039060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5256B527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  <w:lang w:eastAsia="zh-CN"/>
        </w:rPr>
      </w:pPr>
    </w:p>
    <w:p w14:paraId="48A24F1A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  <w:lang w:eastAsia="zh-CN"/>
        </w:rPr>
      </w:pPr>
    </w:p>
    <w:p w14:paraId="332D3084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54ADEC6A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180D38C1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3BA45330">
      <w:pPr>
        <w:adjustRightInd w:val="0"/>
        <w:snapToGrid w:val="0"/>
        <w:spacing w:line="360" w:lineRule="auto"/>
        <w:jc w:val="left"/>
        <w:rPr>
          <w:rFonts w:hint="eastAsia" w:ascii="宋体" w:hAnsi="宋体"/>
          <w:b/>
          <w:bCs/>
          <w:szCs w:val="21"/>
        </w:rPr>
      </w:pPr>
    </w:p>
    <w:p w14:paraId="27AE8CFF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附件3-2</w:t>
      </w:r>
      <w:r>
        <w:t xml:space="preserve"> </w:t>
      </w:r>
    </w:p>
    <w:tbl>
      <w:tblPr>
        <w:tblW w:w="83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389"/>
        <w:gridCol w:w="856"/>
        <w:gridCol w:w="909"/>
        <w:gridCol w:w="486"/>
        <w:gridCol w:w="514"/>
        <w:gridCol w:w="611"/>
        <w:gridCol w:w="420"/>
        <w:gridCol w:w="420"/>
        <w:gridCol w:w="420"/>
        <w:gridCol w:w="426"/>
        <w:gridCol w:w="456"/>
        <w:gridCol w:w="420"/>
        <w:gridCol w:w="570"/>
        <w:gridCol w:w="570"/>
        <w:gridCol w:w="376"/>
      </w:tblGrid>
      <w:tr w14:paraId="334D3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6E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实践教学计划表</w:t>
            </w:r>
          </w:p>
        </w:tc>
      </w:tr>
      <w:tr w14:paraId="7DBA4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93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585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专业名称：统计与大数据分析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7199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5167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CBE39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3AB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37D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7D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2025年11月</w:t>
            </w:r>
          </w:p>
        </w:tc>
      </w:tr>
      <w:tr w14:paraId="1FD92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A9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3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4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课程代码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7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1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课程类型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4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6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总周数</w:t>
            </w:r>
          </w:p>
        </w:tc>
        <w:tc>
          <w:tcPr>
            <w:tcW w:w="25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E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教学进度周学时分配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E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考核方式</w:t>
            </w:r>
          </w:p>
        </w:tc>
        <w:tc>
          <w:tcPr>
            <w:tcW w:w="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37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教学场所</w:t>
            </w:r>
          </w:p>
        </w:tc>
        <w:tc>
          <w:tcPr>
            <w:tcW w:w="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5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B8B2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44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2C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BA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E68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56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81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FF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C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第一学年</w:t>
            </w: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B5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第二学年</w:t>
            </w:r>
          </w:p>
        </w:tc>
        <w:tc>
          <w:tcPr>
            <w:tcW w:w="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D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第三学年</w:t>
            </w: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D3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2F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830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21A9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3E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F4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127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E9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0B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A4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8E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6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E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4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5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E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32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9A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154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42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17D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C3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专业技能实训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ED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E8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XXGG012S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5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认知实习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DBB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1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62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5BE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E9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42A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0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30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9B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7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考查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F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校外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26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6F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0A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D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F1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EC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73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ED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3F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B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54B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5B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CAF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7A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E4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1C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7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其他实践活动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51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6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XXGG014S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A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毕业设计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84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7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FA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D62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E0E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ACE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E6D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9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CC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2A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考查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B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校内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A2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C5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B78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1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074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C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EC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CC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FE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A0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2F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6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6A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77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C6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0F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7A7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392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074B4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AE4D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DC09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1603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F01D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0DAE7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E91A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3D23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05C27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BDE3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5D53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CE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制表人：钟妮珊</w:t>
            </w:r>
          </w:p>
        </w:tc>
      </w:tr>
      <w:tr w14:paraId="65D78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2B3D2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AB4F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DDFFF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71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513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课程类型：A纯理论课；B理论+实践；C纯实践。      ▲核心课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77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★考试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297D7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8E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9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E2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注：本实践课按周计算，在统计学时的情况下，按30学时/周计算</w:t>
            </w:r>
          </w:p>
        </w:tc>
      </w:tr>
    </w:tbl>
    <w:p w14:paraId="3D9123D9">
      <w:pPr>
        <w:adjustRightInd w:val="0"/>
        <w:snapToGrid w:val="0"/>
        <w:spacing w:line="360" w:lineRule="auto"/>
        <w:jc w:val="left"/>
        <w:rPr>
          <w:rFonts w:hint="eastAsia" w:ascii="宋体" w:hAnsi="宋体" w:eastAsia="宋体"/>
          <w:b/>
          <w:bCs/>
          <w:szCs w:val="21"/>
          <w:lang w:eastAsia="zh-CN"/>
        </w:rPr>
      </w:pPr>
    </w:p>
    <w:p w14:paraId="4E871A01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</w:p>
    <w:p w14:paraId="7E0C053E">
      <w:pPr>
        <w:adjustRightInd w:val="0"/>
        <w:snapToGrid w:val="0"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附件3-3</w:t>
      </w:r>
    </w:p>
    <w:tbl>
      <w:tblPr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291"/>
        <w:gridCol w:w="1083"/>
        <w:gridCol w:w="670"/>
        <w:gridCol w:w="1346"/>
        <w:gridCol w:w="721"/>
        <w:gridCol w:w="1506"/>
        <w:gridCol w:w="721"/>
        <w:gridCol w:w="1208"/>
      </w:tblGrid>
      <w:tr w14:paraId="384D1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3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47E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理论与实践教学分配及比例表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44F7D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AA2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0D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6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2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占总学时的百分比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5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学分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8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占总学分的百分比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82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C90B37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C5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D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必修课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9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DC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1D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72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11.97%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32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8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31.51%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E4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5E6F00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3D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14C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2217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AC3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B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91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21.93%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516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745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DC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1B6977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6BD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F09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B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9E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8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8B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28.95%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3B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CB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54.11%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F2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E35628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B54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63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638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E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96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89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23.16%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43A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765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D9D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FC225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3A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7DD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选修课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67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综合素质课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54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6C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C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7.65%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6ED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9D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11.64%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F1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F217F4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23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2149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812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5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C8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2E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3.49%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8B8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7C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95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03C52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3DF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1086F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4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专业课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B5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E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0E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1.19%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AF8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BE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2.74%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D9E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35234E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DF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65681E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5C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7B9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8A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4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1.67%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0E3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579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9D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F4DEA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8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ED2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2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2764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F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/>
            <w:noWrap/>
            <w:vAlign w:val="center"/>
          </w:tcPr>
          <w:p w14:paraId="17EF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0693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45AB7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BF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D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理论实践教学比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04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理论教学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0C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1255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9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49.76%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984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391B41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306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06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B1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实践教学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02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1267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36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50.24%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03C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256E2E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35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92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B5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9B11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0F8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E930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151B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01A3B8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0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2BAEDA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EDE2DD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803717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BDF6C0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F5B19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18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制表人：钟妮珊</w:t>
            </w:r>
          </w:p>
        </w:tc>
      </w:tr>
    </w:tbl>
    <w:p w14:paraId="4CE3256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/>
          <w:b/>
          <w:bCs/>
          <w:szCs w:val="21"/>
        </w:rPr>
      </w:pPr>
    </w:p>
    <w:sectPr>
      <w:footerReference r:id="rId5" w:type="default"/>
      <w:pgSz w:w="11906" w:h="16838"/>
      <w:pgMar w:top="1417" w:right="1247" w:bottom="1417" w:left="1247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36C49">
    <w:pPr>
      <w:pStyle w:val="6"/>
      <w:jc w:val="center"/>
      <w:rPr>
        <w:rFonts w:hint="eastAsia"/>
      </w:rPr>
    </w:pPr>
  </w:p>
  <w:p w14:paraId="626125E3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45518">
    <w:pPr>
      <w:pStyle w:val="6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1D21525D">
    <w:pPr>
      <w:pStyle w:val="6"/>
    </w:pPr>
  </w:p>
  <w:p w14:paraId="226168B1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6345358"/>
      <w:docPartObj>
        <w:docPartGallery w:val="autotext"/>
      </w:docPartObj>
    </w:sdtPr>
    <w:sdtContent>
      <w:p w14:paraId="7A8D7744">
        <w:pPr>
          <w:pStyle w:val="6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569CF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39BDB"/>
    <w:multiLevelType w:val="singleLevel"/>
    <w:tmpl w:val="A0839BDB"/>
    <w:lvl w:ilvl="0" w:tentative="0">
      <w:start w:val="2"/>
      <w:numFmt w:val="chineseCounting"/>
      <w:suff w:val="space"/>
      <w:lvlText w:val="(%1)"/>
      <w:lvlJc w:val="left"/>
      <w:pPr>
        <w:ind w:left="521" w:leftChars="0" w:firstLine="0" w:firstLineChars="0"/>
      </w:pPr>
      <w:rPr>
        <w:rFonts w:hint="eastAsia"/>
      </w:rPr>
    </w:lvl>
  </w:abstractNum>
  <w:abstractNum w:abstractNumId="1">
    <w:nsid w:val="E97CC6C7"/>
    <w:multiLevelType w:val="singleLevel"/>
    <w:tmpl w:val="E97CC6C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4BA70E0F"/>
    <w:multiLevelType w:val="multilevel"/>
    <w:tmpl w:val="4BA70E0F"/>
    <w:lvl w:ilvl="0" w:tentative="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1970B7"/>
    <w:multiLevelType w:val="singleLevel"/>
    <w:tmpl w:val="591970B7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694A6072"/>
    <w:multiLevelType w:val="singleLevel"/>
    <w:tmpl w:val="694A6072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4C"/>
    <w:rsid w:val="0000374C"/>
    <w:rsid w:val="0002145C"/>
    <w:rsid w:val="00056410"/>
    <w:rsid w:val="000B32B3"/>
    <w:rsid w:val="000D4906"/>
    <w:rsid w:val="000F0BBD"/>
    <w:rsid w:val="000F4257"/>
    <w:rsid w:val="00104D78"/>
    <w:rsid w:val="00137827"/>
    <w:rsid w:val="0018207D"/>
    <w:rsid w:val="00207C41"/>
    <w:rsid w:val="00210CBC"/>
    <w:rsid w:val="002D1EB5"/>
    <w:rsid w:val="002D5CBF"/>
    <w:rsid w:val="00383AC9"/>
    <w:rsid w:val="00387013"/>
    <w:rsid w:val="003870C7"/>
    <w:rsid w:val="00396300"/>
    <w:rsid w:val="003D2879"/>
    <w:rsid w:val="004021BF"/>
    <w:rsid w:val="004259A5"/>
    <w:rsid w:val="00495F34"/>
    <w:rsid w:val="004B238E"/>
    <w:rsid w:val="004E11E8"/>
    <w:rsid w:val="00512169"/>
    <w:rsid w:val="00524BF5"/>
    <w:rsid w:val="005A2CC8"/>
    <w:rsid w:val="005A6CE1"/>
    <w:rsid w:val="005C0109"/>
    <w:rsid w:val="005D31CD"/>
    <w:rsid w:val="005E1795"/>
    <w:rsid w:val="005E3732"/>
    <w:rsid w:val="0060152A"/>
    <w:rsid w:val="006070E8"/>
    <w:rsid w:val="00633F37"/>
    <w:rsid w:val="00651883"/>
    <w:rsid w:val="006845E9"/>
    <w:rsid w:val="006C36C8"/>
    <w:rsid w:val="006C7C43"/>
    <w:rsid w:val="0071504A"/>
    <w:rsid w:val="007919BB"/>
    <w:rsid w:val="007E1AAC"/>
    <w:rsid w:val="008119F5"/>
    <w:rsid w:val="008825AF"/>
    <w:rsid w:val="008F4A3E"/>
    <w:rsid w:val="00927297"/>
    <w:rsid w:val="009427E6"/>
    <w:rsid w:val="00984BBF"/>
    <w:rsid w:val="009B6DC1"/>
    <w:rsid w:val="009C06A0"/>
    <w:rsid w:val="009E49CC"/>
    <w:rsid w:val="00A34C98"/>
    <w:rsid w:val="00A74478"/>
    <w:rsid w:val="00AB0D47"/>
    <w:rsid w:val="00AD5A90"/>
    <w:rsid w:val="00B84F37"/>
    <w:rsid w:val="00BA6ADB"/>
    <w:rsid w:val="00BB7C09"/>
    <w:rsid w:val="00C37769"/>
    <w:rsid w:val="00C53EFF"/>
    <w:rsid w:val="00CA603F"/>
    <w:rsid w:val="00CD23E0"/>
    <w:rsid w:val="00CD492D"/>
    <w:rsid w:val="00D50C52"/>
    <w:rsid w:val="00D675CC"/>
    <w:rsid w:val="00D87D7A"/>
    <w:rsid w:val="00DB711A"/>
    <w:rsid w:val="00E046AB"/>
    <w:rsid w:val="00E615B8"/>
    <w:rsid w:val="00E66872"/>
    <w:rsid w:val="00E7247A"/>
    <w:rsid w:val="00E928F7"/>
    <w:rsid w:val="00EF3EC3"/>
    <w:rsid w:val="00F420B6"/>
    <w:rsid w:val="00FB51F5"/>
    <w:rsid w:val="01311D17"/>
    <w:rsid w:val="069D39AB"/>
    <w:rsid w:val="0C3628D7"/>
    <w:rsid w:val="10294EBD"/>
    <w:rsid w:val="1A070E5F"/>
    <w:rsid w:val="1AA475E6"/>
    <w:rsid w:val="23E1155B"/>
    <w:rsid w:val="27851F92"/>
    <w:rsid w:val="28B62967"/>
    <w:rsid w:val="2B325E2C"/>
    <w:rsid w:val="2BFE3009"/>
    <w:rsid w:val="3B337E5E"/>
    <w:rsid w:val="3FC563F2"/>
    <w:rsid w:val="407D1B7C"/>
    <w:rsid w:val="460343EB"/>
    <w:rsid w:val="464C6278"/>
    <w:rsid w:val="49D56585"/>
    <w:rsid w:val="4D0A29E9"/>
    <w:rsid w:val="509C7DFC"/>
    <w:rsid w:val="5A5262DA"/>
    <w:rsid w:val="60B258FA"/>
    <w:rsid w:val="610C68D8"/>
    <w:rsid w:val="63CB4828"/>
    <w:rsid w:val="6FF45072"/>
    <w:rsid w:val="76FA74A7"/>
    <w:rsid w:val="78AD0A58"/>
    <w:rsid w:val="79E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320" w:lineRule="exact"/>
      <w:outlineLvl w:val="1"/>
    </w:pPr>
    <w:rPr>
      <w:rFonts w:ascii="Arial" w:hAnsi="Arial" w:eastAsia="黑体"/>
      <w:b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320" w:lineRule="exact"/>
      <w:outlineLvl w:val="2"/>
    </w:pPr>
    <w:rPr>
      <w:rFonts w:eastAsia="黑体"/>
      <w:b/>
      <w:bCs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semiHidden/>
    <w:unhideWhenUsed/>
    <w:qFormat/>
    <w:uiPriority w:val="99"/>
    <w:rPr>
      <w:color w:val="800080"/>
      <w:u w:val="single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sz w:val="18"/>
      <w:szCs w:val="18"/>
    </w:rPr>
  </w:style>
  <w:style w:type="character" w:customStyle="1" w:styleId="17">
    <w:name w:val="页脚 Char1"/>
    <w:basedOn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24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5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26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8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font1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xl6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4">
    <w:name w:val="xl69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5">
    <w:name w:val="xl70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6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37">
    <w:name w:val="xl72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73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3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5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8">
    <w:name w:val="xl8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1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2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4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5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56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7">
    <w:name w:val="xl92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59">
    <w:name w:val="xl9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0">
    <w:name w:val="xl9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1">
    <w:name w:val="xl9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2">
    <w:name w:val="xl9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5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7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68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69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0">
    <w:name w:val="xl10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1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07"/>
    <w:basedOn w:val="1"/>
    <w:qFormat/>
    <w:uiPriority w:val="0"/>
    <w:pPr>
      <w:widowControl/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5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6">
    <w:name w:val="xl111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77">
    <w:name w:val="xl11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8">
    <w:name w:val="xl11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79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0">
    <w:name w:val="xl11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2">
    <w:name w:val="xl11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3">
    <w:name w:val="xl11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4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5">
    <w:name w:val="xl120"/>
    <w:basedOn w:val="1"/>
    <w:qFormat/>
    <w:uiPriority w:val="0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6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1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xl1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FF"/>
      <w:kern w:val="0"/>
      <w:sz w:val="18"/>
      <w:szCs w:val="18"/>
    </w:rPr>
  </w:style>
  <w:style w:type="paragraph" w:customStyle="1" w:styleId="89">
    <w:name w:val="xl1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0">
    <w:name w:val="xl1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91">
    <w:name w:val="xl126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2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F0000"/>
      <w:kern w:val="0"/>
      <w:sz w:val="18"/>
      <w:szCs w:val="18"/>
    </w:rPr>
  </w:style>
  <w:style w:type="paragraph" w:customStyle="1" w:styleId="93">
    <w:name w:val="xl128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4">
    <w:name w:val="xl1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xl13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6">
    <w:name w:val="xl131"/>
    <w:basedOn w:val="1"/>
    <w:qFormat/>
    <w:uiPriority w:val="0"/>
    <w:pPr>
      <w:widowControl/>
      <w:shd w:val="clear" w:color="000000" w:fill="C5D9F1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7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xl1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13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color w:val="000000"/>
      <w:kern w:val="0"/>
      <w:sz w:val="18"/>
      <w:szCs w:val="18"/>
    </w:rPr>
  </w:style>
  <w:style w:type="paragraph" w:customStyle="1" w:styleId="100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1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F2DCDB"/>
      <w:kern w:val="0"/>
      <w:sz w:val="18"/>
      <w:szCs w:val="18"/>
    </w:rPr>
  </w:style>
  <w:style w:type="paragraph" w:customStyle="1" w:styleId="102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3">
    <w:name w:val="xl13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5">
    <w:name w:val="xl14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06">
    <w:name w:val="xl1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07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08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9">
    <w:name w:val="xl14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0">
    <w:name w:val="xl14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1">
    <w:name w:val="xl14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14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3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xl1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5">
    <w:name w:val="xl15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6">
    <w:name w:val="xl15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7">
    <w:name w:val="xl15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E6B8B7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18">
    <w:name w:val="xl15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19">
    <w:name w:val="xl15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120">
    <w:name w:val="xl155"/>
    <w:basedOn w:val="1"/>
    <w:qFormat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56"/>
    <w:basedOn w:val="1"/>
    <w:qFormat/>
    <w:uiPriority w:val="0"/>
    <w:pPr>
      <w:widowControl/>
      <w:pBdr>
        <w:top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23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character" w:customStyle="1" w:styleId="12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table" w:customStyle="1" w:styleId="125">
    <w:name w:val="Grid Table Light"/>
    <w:basedOn w:val="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7C793-0946-4463-920E-C583C0C7D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12</Pages>
  <Words>3269</Words>
  <Characters>3372</Characters>
  <Lines>35</Lines>
  <Paragraphs>9</Paragraphs>
  <TotalTime>20</TotalTime>
  <ScaleCrop>false</ScaleCrop>
  <LinksUpToDate>false</LinksUpToDate>
  <CharactersWithSpaces>3545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2022-09-23T02:04:00Z</dcterms:created>
  <dc:creator>Windows 用户</dc:creator>
  <cp:lastModifiedBy>Nakita</cp:lastModifiedBy>
  <dcterms:modified xsi:type="dcterms:W3CDTF">2025-11-30T03:07:32Z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eyJoZGlkIjoiYjk5ODM0YmMxOWJiYWQyNDU4MGIzYWRmYTA0ZmI5NDciLCJ1c2VySWQiOiIyMDUwNTQ5MTQifQ==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CCEAF6C6799E4E76BE339519DBE356E5_12</vt:lpwstr>
  </property>
</Properties>
</file>