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
          <w:spacing w:val="34"/>
          <w:sz w:val="84"/>
        </w:rPr>
      </w:pPr>
    </w:p>
    <w:p>
      <w:pPr>
        <w:jc w:val="center"/>
        <w:rPr>
          <w:rFonts w:ascii="宋体" w:hAnsi="宋体"/>
          <w:b/>
          <w:sz w:val="32"/>
          <w:szCs w:val="32"/>
        </w:rPr>
      </w:pPr>
      <w:r>
        <w:rPr>
          <w:rFonts w:hint="eastAsia" w:eastAsia="黑体"/>
          <w:b/>
          <w:spacing w:val="34"/>
          <w:sz w:val="56"/>
        </w:rPr>
        <w:t>广东茂名幼儿师范专科学校</w:t>
      </w:r>
      <w:r>
        <w:rPr>
          <w:rFonts w:ascii="宋体" w:hAnsi="宋体"/>
          <w:b/>
          <w:sz w:val="24"/>
          <w:szCs w:val="32"/>
        </w:rPr>
        <w:t> </w:t>
      </w:r>
    </w:p>
    <w:p>
      <w:pPr>
        <w:jc w:val="center"/>
        <w:rPr>
          <w:rFonts w:ascii="宋体" w:hAnsi="宋体"/>
          <w:b/>
          <w:sz w:val="32"/>
          <w:szCs w:val="32"/>
        </w:rPr>
      </w:pPr>
    </w:p>
    <w:p>
      <w:pPr>
        <w:jc w:val="center"/>
        <w:rPr>
          <w:rFonts w:ascii="宋体" w:hAnsi="宋体"/>
          <w:b/>
          <w:sz w:val="32"/>
          <w:szCs w:val="32"/>
        </w:rPr>
      </w:pPr>
      <w:r>
        <w:rPr>
          <w:rFonts w:hint="eastAsia" w:ascii="宋体" w:hAnsi="宋体"/>
          <w:b/>
          <w:sz w:val="32"/>
          <w:szCs w:val="32"/>
        </w:rPr>
        <w:t>五年一贯制学前教育专业人才培养方案</w:t>
      </w:r>
    </w:p>
    <w:p>
      <w:pPr>
        <w:jc w:val="center"/>
        <w:rPr>
          <w:rFonts w:eastAsia="黑体"/>
          <w:b/>
          <w:sz w:val="28"/>
        </w:rPr>
      </w:pPr>
      <w:r>
        <w:rPr>
          <w:rFonts w:eastAsia="黑体"/>
          <w:b/>
          <w:sz w:val="28"/>
        </w:rPr>
        <w:t> </w:t>
      </w:r>
    </w:p>
    <w:p>
      <w:pPr>
        <w:jc w:val="center"/>
        <w:rPr>
          <w:rFonts w:ascii="宋体" w:hAnsi="宋体"/>
          <w:sz w:val="30"/>
        </w:rPr>
      </w:pPr>
      <w:r>
        <w:rPr>
          <w:rFonts w:hint="eastAsia" w:ascii="宋体" w:hAnsi="宋体"/>
          <w:sz w:val="30"/>
        </w:rPr>
        <w:t> </w:t>
      </w:r>
    </w:p>
    <w:p>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教育科学学院   </w:t>
      </w:r>
      <w:r>
        <w:rPr>
          <w:rFonts w:ascii="宋体" w:hAnsi="宋体"/>
          <w:sz w:val="32"/>
          <w:u w:val="single"/>
        </w:rPr>
        <w:t xml:space="preserve"> </w:t>
      </w:r>
      <w:r>
        <w:rPr>
          <w:rFonts w:hint="eastAsia" w:ascii="宋体" w:hAnsi="宋体"/>
          <w:sz w:val="32"/>
          <w:u w:val="single"/>
        </w:rPr>
        <w:t xml:space="preserve">       </w:t>
      </w:r>
    </w:p>
    <w:p>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学前教育（五年制）  </w:t>
      </w:r>
      <w:r>
        <w:rPr>
          <w:rFonts w:ascii="宋体" w:hAnsi="宋体"/>
          <w:sz w:val="32"/>
          <w:u w:val="single"/>
        </w:rPr>
        <w:t xml:space="preserve">   </w:t>
      </w:r>
    </w:p>
    <w:p>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w:t>
      </w:r>
      <w:r>
        <w:rPr>
          <w:rFonts w:hint="eastAsia" w:ascii="宋体" w:hAnsi="宋体"/>
          <w:sz w:val="32"/>
          <w:u w:val="single"/>
          <w:lang w:val="en-US" w:eastAsia="zh-CN"/>
        </w:rPr>
        <w:t>6</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p>
    <w:p>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周小丹          </w:t>
      </w:r>
      <w:r>
        <w:rPr>
          <w:rFonts w:ascii="宋体" w:hAnsi="宋体"/>
          <w:sz w:val="32"/>
          <w:u w:val="single"/>
        </w:rPr>
        <w:t xml:space="preserve"> </w:t>
      </w:r>
    </w:p>
    <w:p>
      <w:pPr>
        <w:tabs>
          <w:tab w:val="left" w:pos="7080"/>
        </w:tabs>
        <w:spacing w:line="900" w:lineRule="exact"/>
        <w:ind w:firstLine="1573" w:firstLineChars="562"/>
        <w:rPr>
          <w:rFonts w:ascii="宋体" w:hAnsi="宋体"/>
          <w:spacing w:val="-20"/>
          <w:sz w:val="32"/>
        </w:rPr>
      </w:pPr>
      <w:r>
        <w:rPr>
          <w:rFonts w:hint="eastAsia" w:ascii="宋体" w:hAnsi="宋体"/>
          <w:spacing w:val="-20"/>
          <w:sz w:val="32"/>
        </w:rPr>
        <w:t>审定人（院长）</w:t>
      </w:r>
      <w:r>
        <w:rPr>
          <w:rFonts w:ascii="宋体" w:hAnsi="宋体"/>
          <w:spacing w:val="-20"/>
          <w:sz w:val="32"/>
        </w:rPr>
        <w:t xml:space="preserve"> </w:t>
      </w:r>
      <w:r>
        <w:rPr>
          <w:rFonts w:hint="eastAsia" w:ascii="宋体" w:hAnsi="宋体"/>
          <w:spacing w:val="-20"/>
          <w:sz w:val="32"/>
          <w:u w:val="single"/>
        </w:rPr>
        <w:t xml:space="preserve">签名（盖章）          </w:t>
      </w:r>
      <w:r>
        <w:rPr>
          <w:rFonts w:ascii="宋体" w:hAnsi="宋体"/>
          <w:spacing w:val="-20"/>
          <w:sz w:val="32"/>
          <w:u w:val="single"/>
        </w:rPr>
        <w:t xml:space="preserve">  </w:t>
      </w:r>
      <w:r>
        <w:rPr>
          <w:rFonts w:hint="eastAsia" w:ascii="宋体" w:hAnsi="宋体"/>
          <w:spacing w:val="-20"/>
          <w:sz w:val="32"/>
          <w:u w:val="single"/>
        </w:rPr>
        <w:t xml:space="preserve"> </w:t>
      </w:r>
      <w:r>
        <w:rPr>
          <w:rFonts w:ascii="宋体" w:hAnsi="宋体"/>
          <w:spacing w:val="-20"/>
          <w:sz w:val="32"/>
          <w:u w:val="single"/>
        </w:rPr>
        <w:t xml:space="preserve">     </w:t>
      </w:r>
    </w:p>
    <w:p>
      <w:pPr>
        <w:tabs>
          <w:tab w:val="left" w:pos="7080"/>
        </w:tabs>
        <w:spacing w:line="900" w:lineRule="exact"/>
        <w:ind w:firstLine="1573" w:firstLineChars="605"/>
        <w:rPr>
          <w:rFonts w:ascii="宋体" w:hAnsi="宋体"/>
          <w:spacing w:val="-30"/>
          <w:sz w:val="32"/>
          <w:u w:val="single"/>
        </w:rPr>
      </w:pPr>
      <w:r>
        <w:rPr>
          <w:rFonts w:hint="eastAsia" w:ascii="宋体" w:hAnsi="宋体"/>
          <w:spacing w:val="-30"/>
          <w:sz w:val="32"/>
        </w:rPr>
        <w:t>审批人（教务部长）</w:t>
      </w:r>
      <w:r>
        <w:rPr>
          <w:rFonts w:ascii="宋体" w:hAnsi="宋体"/>
          <w:spacing w:val="-30"/>
          <w:sz w:val="32"/>
        </w:rPr>
        <w:t xml:space="preserve"> </w:t>
      </w:r>
      <w:r>
        <w:rPr>
          <w:rFonts w:hint="eastAsia" w:ascii="宋体" w:hAnsi="宋体"/>
          <w:spacing w:val="-30"/>
          <w:sz w:val="32"/>
          <w:u w:val="single"/>
        </w:rPr>
        <w:t xml:space="preserve">签名（盖章）              </w:t>
      </w:r>
      <w:r>
        <w:rPr>
          <w:rFonts w:ascii="宋体" w:hAnsi="宋体"/>
          <w:spacing w:val="-30"/>
          <w:sz w:val="32"/>
          <w:u w:val="single"/>
        </w:rPr>
        <w:t xml:space="preserve">        </w:t>
      </w:r>
    </w:p>
    <w:p>
      <w:pPr>
        <w:tabs>
          <w:tab w:val="left" w:pos="7080"/>
        </w:tabs>
        <w:spacing w:line="900" w:lineRule="exact"/>
        <w:ind w:firstLine="1574" w:firstLineChars="492"/>
        <w:rPr>
          <w:rFonts w:ascii="宋体" w:hAnsi="宋体"/>
          <w:sz w:val="32"/>
          <w:u w:val="single"/>
        </w:rPr>
      </w:pPr>
      <w:r>
        <w:rPr>
          <w:rFonts w:hint="eastAsia" w:ascii="宋体" w:hAnsi="宋体"/>
          <w:sz w:val="32"/>
        </w:rPr>
        <w:t>主</w:t>
      </w:r>
      <w:r>
        <w:rPr>
          <w:rFonts w:ascii="宋体" w:hAnsi="宋体"/>
          <w:sz w:val="32"/>
        </w:rPr>
        <w:t xml:space="preserve"> 管 副 </w:t>
      </w:r>
      <w:r>
        <w:rPr>
          <w:rFonts w:hint="eastAsia" w:ascii="宋体" w:hAnsi="宋体"/>
          <w:sz w:val="32"/>
        </w:rPr>
        <w:t>校</w:t>
      </w:r>
      <w:r>
        <w:rPr>
          <w:rFonts w:ascii="宋体" w:hAnsi="宋体"/>
          <w:sz w:val="32"/>
        </w:rPr>
        <w:t xml:space="preserve"> 长 </w:t>
      </w:r>
      <w:r>
        <w:rPr>
          <w:rFonts w:ascii="宋体" w:hAnsi="宋体"/>
          <w:sz w:val="32"/>
          <w:u w:val="single"/>
        </w:rPr>
        <w:t xml:space="preserve">                        </w:t>
      </w:r>
    </w:p>
    <w:p>
      <w:pPr>
        <w:spacing w:after="120"/>
        <w:jc w:val="center"/>
        <w:rPr>
          <w:rFonts w:ascii="宋体" w:hAnsi="宋体"/>
          <w:sz w:val="28"/>
        </w:rPr>
      </w:pPr>
      <w:r>
        <w:rPr>
          <w:rFonts w:hint="eastAsia" w:ascii="宋体" w:hAnsi="宋体"/>
          <w:sz w:val="30"/>
        </w:rPr>
        <w:t> </w:t>
      </w:r>
      <w:r>
        <w:rPr>
          <w:rFonts w:hint="eastAsia" w:ascii="宋体" w:hAnsi="宋体"/>
          <w:sz w:val="28"/>
        </w:rPr>
        <w:t> </w:t>
      </w:r>
    </w:p>
    <w:p>
      <w:pPr>
        <w:spacing w:after="120"/>
        <w:jc w:val="center"/>
        <w:rPr>
          <w:rFonts w:ascii="宋体" w:hAnsi="宋体"/>
          <w:sz w:val="28"/>
        </w:rPr>
      </w:pPr>
    </w:p>
    <w:p>
      <w:pPr>
        <w:spacing w:line="360" w:lineRule="auto"/>
        <w:jc w:val="center"/>
        <w:rPr>
          <w:rFonts w:ascii="仿宋_GB2312" w:hAnsi="宋体" w:eastAsia="仿宋_GB2312"/>
          <w:b/>
          <w:sz w:val="36"/>
          <w:szCs w:val="36"/>
        </w:rPr>
      </w:pPr>
      <w:r>
        <w:rPr>
          <w:rFonts w:hint="eastAsia" w:ascii="仿宋_GB2312" w:eastAsia="仿宋_GB2312"/>
          <w:sz w:val="36"/>
          <w:szCs w:val="36"/>
        </w:rPr>
        <w:t>202</w:t>
      </w:r>
      <w:r>
        <w:rPr>
          <w:rFonts w:hint="eastAsia" w:ascii="仿宋_GB2312" w:eastAsia="仿宋_GB2312"/>
          <w:sz w:val="36"/>
          <w:szCs w:val="36"/>
          <w:lang w:val="en-US" w:eastAsia="zh-CN"/>
        </w:rPr>
        <w:t>5</w:t>
      </w:r>
      <w:r>
        <w:rPr>
          <w:rFonts w:hint="eastAsia" w:ascii="仿宋_GB2312" w:eastAsia="仿宋_GB2312"/>
          <w:sz w:val="36"/>
          <w:szCs w:val="36"/>
        </w:rPr>
        <w:t>年1</w:t>
      </w:r>
      <w:r>
        <w:rPr>
          <w:rFonts w:hint="eastAsia" w:ascii="仿宋_GB2312" w:eastAsia="仿宋_GB2312"/>
          <w:sz w:val="36"/>
          <w:szCs w:val="36"/>
          <w:lang w:val="en-US" w:eastAsia="zh-CN"/>
        </w:rPr>
        <w:t>1</w:t>
      </w:r>
      <w:r>
        <w:rPr>
          <w:rFonts w:hint="eastAsia" w:ascii="仿宋_GB2312" w:eastAsia="仿宋_GB2312"/>
          <w:sz w:val="36"/>
          <w:szCs w:val="36"/>
        </w:rPr>
        <w:t>月</w:t>
      </w:r>
    </w:p>
    <w:p>
      <w:pPr>
        <w:jc w:val="center"/>
        <w:rPr>
          <w:rFonts w:ascii="宋体" w:hAnsi="宋体"/>
          <w:b/>
          <w:sz w:val="28"/>
          <w:szCs w:val="28"/>
        </w:rPr>
      </w:pPr>
    </w:p>
    <w:p>
      <w:pPr>
        <w:jc w:val="center"/>
        <w:rPr>
          <w:rFonts w:ascii="宋体" w:hAnsi="宋体"/>
          <w:b/>
          <w:sz w:val="28"/>
          <w:szCs w:val="28"/>
        </w:rPr>
      </w:pPr>
    </w:p>
    <w:p>
      <w:pPr>
        <w:jc w:val="center"/>
        <w:rPr>
          <w:rFonts w:ascii="宋体" w:hAnsi="宋体"/>
          <w:b/>
          <w:sz w:val="28"/>
          <w:szCs w:val="28"/>
        </w:rPr>
      </w:pPr>
      <w:r>
        <w:rPr>
          <w:rFonts w:hint="eastAsia" w:ascii="宋体" w:hAnsi="宋体"/>
          <w:b/>
          <w:sz w:val="28"/>
          <w:szCs w:val="28"/>
        </w:rPr>
        <w:t>广东茂名幼儿师范专科学校</w:t>
      </w:r>
    </w:p>
    <w:p>
      <w:pPr>
        <w:jc w:val="center"/>
        <w:rPr>
          <w:rFonts w:ascii="宋体" w:hAnsi="宋体"/>
          <w:b/>
          <w:sz w:val="28"/>
          <w:szCs w:val="28"/>
        </w:rPr>
      </w:pPr>
      <w:r>
        <w:rPr>
          <w:rFonts w:hint="eastAsia" w:ascii="宋体" w:hAnsi="宋体"/>
          <w:b/>
          <w:sz w:val="28"/>
          <w:szCs w:val="28"/>
        </w:rPr>
        <w:t>202</w:t>
      </w:r>
      <w:r>
        <w:rPr>
          <w:rFonts w:hint="eastAsia" w:ascii="宋体" w:hAnsi="宋体"/>
          <w:b/>
          <w:sz w:val="28"/>
          <w:szCs w:val="28"/>
          <w:lang w:val="en-US" w:eastAsia="zh-CN"/>
        </w:rPr>
        <w:t>6</w:t>
      </w:r>
      <w:r>
        <w:rPr>
          <w:rFonts w:hint="eastAsia" w:ascii="宋体" w:hAnsi="宋体"/>
          <w:b/>
          <w:sz w:val="28"/>
          <w:szCs w:val="28"/>
        </w:rPr>
        <w:t>级五年一贯制学前教育专业人才培养方案</w:t>
      </w:r>
    </w:p>
    <w:p>
      <w:pPr>
        <w:spacing w:line="360" w:lineRule="auto"/>
        <w:ind w:firstLine="422" w:firstLineChars="200"/>
        <w:rPr>
          <w:rFonts w:ascii="宋体" w:hAnsi="宋体"/>
          <w:b/>
          <w:bCs/>
          <w:szCs w:val="21"/>
        </w:rPr>
      </w:pPr>
    </w:p>
    <w:p>
      <w:pPr>
        <w:spacing w:line="360" w:lineRule="auto"/>
        <w:ind w:firstLine="422" w:firstLineChars="200"/>
        <w:rPr>
          <w:rStyle w:val="7"/>
          <w:rFonts w:ascii="宋体" w:hAnsi="宋体"/>
          <w:szCs w:val="21"/>
        </w:rPr>
      </w:pPr>
      <w:r>
        <w:rPr>
          <w:rStyle w:val="7"/>
          <w:rFonts w:hint="eastAsia" w:ascii="宋体" w:hAnsi="宋体"/>
          <w:szCs w:val="21"/>
        </w:rPr>
        <w:t>一、专业名称</w:t>
      </w:r>
      <w:r>
        <w:rPr>
          <w:rStyle w:val="7"/>
          <w:rFonts w:ascii="宋体" w:hAnsi="宋体"/>
          <w:szCs w:val="21"/>
        </w:rPr>
        <w:t>(</w:t>
      </w:r>
      <w:r>
        <w:rPr>
          <w:rStyle w:val="7"/>
          <w:rFonts w:hint="eastAsia" w:ascii="宋体" w:hAnsi="宋体"/>
          <w:szCs w:val="21"/>
        </w:rPr>
        <w:t>代码</w:t>
      </w:r>
      <w:r>
        <w:rPr>
          <w:rStyle w:val="7"/>
          <w:rFonts w:ascii="宋体" w:hAnsi="宋体"/>
          <w:szCs w:val="21"/>
        </w:rPr>
        <w:t>)</w:t>
      </w:r>
      <w:r>
        <w:rPr>
          <w:rStyle w:val="7"/>
          <w:rFonts w:hint="eastAsia" w:ascii="宋体" w:hAnsi="宋体"/>
          <w:szCs w:val="21"/>
        </w:rPr>
        <w:t xml:space="preserve"> </w:t>
      </w:r>
    </w:p>
    <w:p>
      <w:pPr>
        <w:spacing w:line="360" w:lineRule="auto"/>
        <w:ind w:firstLine="420" w:firstLineChars="200"/>
        <w:rPr>
          <w:rStyle w:val="7"/>
          <w:rFonts w:ascii="宋体" w:hAnsi="宋体"/>
          <w:szCs w:val="21"/>
        </w:rPr>
      </w:pPr>
      <w:r>
        <w:rPr>
          <w:rFonts w:hint="eastAsia"/>
          <w:szCs w:val="21"/>
        </w:rPr>
        <w:tab/>
      </w:r>
      <w:r>
        <w:rPr>
          <w:rFonts w:hint="eastAsia"/>
          <w:szCs w:val="21"/>
        </w:rPr>
        <w:t>学前教育(专业代码:570102K)</w:t>
      </w:r>
    </w:p>
    <w:p>
      <w:pPr>
        <w:spacing w:line="360" w:lineRule="auto"/>
        <w:ind w:firstLine="422" w:firstLineChars="200"/>
        <w:rPr>
          <w:rStyle w:val="7"/>
          <w:rFonts w:ascii="宋体" w:hAnsi="宋体"/>
          <w:szCs w:val="21"/>
        </w:rPr>
      </w:pPr>
      <w:r>
        <w:rPr>
          <w:rStyle w:val="7"/>
          <w:rFonts w:hint="eastAsia" w:ascii="宋体" w:hAnsi="宋体"/>
          <w:szCs w:val="21"/>
        </w:rPr>
        <w:t>二、入学要求</w:t>
      </w:r>
    </w:p>
    <w:p>
      <w:pPr>
        <w:spacing w:line="360" w:lineRule="auto"/>
        <w:ind w:firstLine="420" w:firstLineChars="200"/>
        <w:rPr>
          <w:rStyle w:val="7"/>
          <w:rFonts w:ascii="宋体" w:hAnsi="宋体"/>
          <w:szCs w:val="21"/>
        </w:rPr>
      </w:pPr>
      <w:r>
        <w:rPr>
          <w:rFonts w:hint="eastAsia"/>
          <w:szCs w:val="21"/>
        </w:rPr>
        <w:tab/>
      </w:r>
      <w:r>
        <w:rPr>
          <w:rFonts w:hint="eastAsia"/>
        </w:rPr>
        <w:t>普通高级中学毕业、中等职业学校毕业或具备同等学力</w:t>
      </w:r>
    </w:p>
    <w:p>
      <w:pPr>
        <w:spacing w:line="360" w:lineRule="auto"/>
        <w:ind w:firstLine="422" w:firstLineChars="200"/>
        <w:rPr>
          <w:rStyle w:val="7"/>
          <w:rFonts w:ascii="宋体" w:hAnsi="宋体"/>
          <w:szCs w:val="21"/>
        </w:rPr>
      </w:pPr>
      <w:r>
        <w:rPr>
          <w:rStyle w:val="7"/>
          <w:rFonts w:hint="eastAsia" w:ascii="宋体" w:hAnsi="宋体"/>
          <w:szCs w:val="21"/>
        </w:rPr>
        <w:t>三、基本修业年限</w:t>
      </w:r>
    </w:p>
    <w:p>
      <w:pPr>
        <w:spacing w:line="360" w:lineRule="auto"/>
        <w:ind w:firstLine="420" w:firstLineChars="200"/>
        <w:rPr>
          <w:szCs w:val="21"/>
        </w:rPr>
      </w:pPr>
      <w:r>
        <w:rPr>
          <w:rFonts w:hint="eastAsia"/>
          <w:szCs w:val="21"/>
        </w:rPr>
        <w:tab/>
      </w:r>
      <w:r>
        <w:rPr>
          <w:rFonts w:hint="eastAsia"/>
          <w:szCs w:val="21"/>
        </w:rPr>
        <w:t>五年</w:t>
      </w:r>
    </w:p>
    <w:p>
      <w:pPr>
        <w:spacing w:line="360" w:lineRule="auto"/>
        <w:ind w:firstLine="422" w:firstLineChars="200"/>
        <w:rPr>
          <w:b/>
          <w:szCs w:val="21"/>
        </w:rPr>
      </w:pPr>
      <w:r>
        <w:rPr>
          <w:rFonts w:hint="eastAsia"/>
          <w:b/>
          <w:szCs w:val="21"/>
        </w:rPr>
        <w:t>四、职业面向</w:t>
      </w:r>
    </w:p>
    <w:p>
      <w:pPr>
        <w:spacing w:line="360" w:lineRule="auto"/>
        <w:ind w:firstLine="422" w:firstLineChars="200"/>
        <w:rPr>
          <w:b/>
          <w:szCs w:val="21"/>
        </w:rPr>
      </w:pPr>
      <w:r>
        <w:rPr>
          <w:b/>
          <w:szCs w:val="21"/>
        </w:rPr>
        <w:t>(</w:t>
      </w:r>
      <w:r>
        <w:rPr>
          <w:rFonts w:hint="eastAsia"/>
          <w:b/>
          <w:szCs w:val="21"/>
        </w:rPr>
        <w:t>一) 职业面向</w:t>
      </w:r>
    </w:p>
    <w:p>
      <w:pPr>
        <w:spacing w:line="360" w:lineRule="auto"/>
        <w:ind w:firstLine="422" w:firstLineChars="200"/>
        <w:rPr>
          <w:b/>
          <w:szCs w:val="21"/>
        </w:rPr>
      </w:pPr>
    </w:p>
    <w:tbl>
      <w:tblPr>
        <w:tblStyle w:val="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spacing w:line="400" w:lineRule="exact"/>
              <w:rPr>
                <w:rFonts w:ascii="宋体" w:hAnsi="宋体"/>
                <w:bCs/>
                <w:szCs w:val="21"/>
              </w:rPr>
            </w:pPr>
            <w:r>
              <w:rPr>
                <w:rFonts w:hint="eastAsia" w:ascii="宋体" w:hAnsi="宋体"/>
                <w:bCs/>
                <w:szCs w:val="21"/>
              </w:rPr>
              <w:t>教育与体育类（57）</w:t>
            </w:r>
          </w:p>
        </w:tc>
        <w:tc>
          <w:tcPr>
            <w:tcW w:w="1142" w:type="dxa"/>
          </w:tcPr>
          <w:p>
            <w:pPr>
              <w:spacing w:line="400" w:lineRule="exact"/>
              <w:rPr>
                <w:rFonts w:ascii="宋体" w:hAnsi="宋体"/>
                <w:bCs/>
                <w:szCs w:val="21"/>
              </w:rPr>
            </w:pPr>
            <w:r>
              <w:rPr>
                <w:rFonts w:hint="eastAsia" w:ascii="宋体" w:hAnsi="宋体"/>
                <w:bCs/>
                <w:szCs w:val="21"/>
              </w:rPr>
              <w:t>教育类（5701）</w:t>
            </w:r>
          </w:p>
        </w:tc>
        <w:tc>
          <w:tcPr>
            <w:tcW w:w="1134" w:type="dxa"/>
          </w:tcPr>
          <w:p>
            <w:pPr>
              <w:spacing w:line="400" w:lineRule="exact"/>
              <w:rPr>
                <w:rFonts w:ascii="宋体" w:hAnsi="宋体"/>
                <w:bCs/>
                <w:szCs w:val="21"/>
              </w:rPr>
            </w:pPr>
            <w:r>
              <w:rPr>
                <w:rFonts w:hint="eastAsia" w:ascii="宋体" w:hAnsi="宋体"/>
                <w:bCs/>
                <w:szCs w:val="21"/>
              </w:rPr>
              <w:t>学前教育（8301）</w:t>
            </w:r>
          </w:p>
          <w:p>
            <w:pPr>
              <w:spacing w:line="400" w:lineRule="exact"/>
              <w:rPr>
                <w:rFonts w:ascii="宋体" w:hAnsi="宋体"/>
                <w:bCs/>
                <w:szCs w:val="21"/>
              </w:rPr>
            </w:pPr>
          </w:p>
        </w:tc>
        <w:tc>
          <w:tcPr>
            <w:tcW w:w="1275" w:type="dxa"/>
          </w:tcPr>
          <w:p>
            <w:pPr>
              <w:spacing w:line="400" w:lineRule="exact"/>
              <w:rPr>
                <w:rFonts w:asciiTheme="minorEastAsia" w:hAnsiTheme="minorEastAsia" w:eastAsiaTheme="minorEastAsia"/>
                <w:bCs/>
                <w:szCs w:val="21"/>
              </w:rPr>
            </w:pPr>
            <w:r>
              <w:rPr>
                <w:rFonts w:hint="eastAsia" w:asciiTheme="minorEastAsia" w:hAnsiTheme="minorEastAsia" w:eastAsiaTheme="minorEastAsia"/>
                <w:bCs/>
                <w:szCs w:val="21"/>
              </w:rPr>
              <w:t>幼儿教师、</w:t>
            </w:r>
            <w:r>
              <w:rPr>
                <w:rFonts w:hint="eastAsia" w:asciiTheme="minorEastAsia" w:hAnsiTheme="minorEastAsia" w:eastAsiaTheme="minorEastAsia"/>
                <w:szCs w:val="21"/>
              </w:rPr>
              <w:t>托幼机构保育员</w:t>
            </w:r>
          </w:p>
        </w:tc>
        <w:tc>
          <w:tcPr>
            <w:tcW w:w="1701" w:type="dxa"/>
          </w:tcPr>
          <w:p>
            <w:pPr>
              <w:spacing w:line="400" w:lineRule="exact"/>
              <w:rPr>
                <w:rFonts w:ascii="宋体" w:hAnsi="宋体"/>
                <w:bCs/>
                <w:szCs w:val="21"/>
              </w:rPr>
            </w:pPr>
            <w:r>
              <w:rPr>
                <w:rFonts w:hint="eastAsia" w:ascii="宋体" w:hAnsi="宋体"/>
                <w:bCs/>
                <w:szCs w:val="21"/>
              </w:rPr>
              <w:t>主班教师、副班教师、园长</w:t>
            </w:r>
          </w:p>
        </w:tc>
        <w:tc>
          <w:tcPr>
            <w:tcW w:w="3544" w:type="dxa"/>
          </w:tcPr>
          <w:p>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1.幼儿园教师资格证</w:t>
            </w:r>
          </w:p>
          <w:p>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2.普通话二乙（及以上）等级证书</w:t>
            </w:r>
          </w:p>
          <w:p>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3.1+X幼儿照护（初级）职业技能等级证书等</w:t>
            </w:r>
          </w:p>
          <w:p>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4.育婴师资格证</w:t>
            </w:r>
          </w:p>
          <w:p>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5.北京舞蹈学院中国舞等级考试教师资格证</w:t>
            </w:r>
          </w:p>
          <w:p>
            <w:pPr>
              <w:snapToGrid w:val="0"/>
              <w:spacing w:line="520" w:lineRule="exact"/>
              <w:rPr>
                <w:rFonts w:asciiTheme="minorEastAsia" w:hAnsiTheme="minorEastAsia" w:eastAsiaTheme="minorEastAsia"/>
                <w:bCs/>
                <w:szCs w:val="21"/>
              </w:rPr>
            </w:pPr>
            <w:r>
              <w:rPr>
                <w:rFonts w:hint="eastAsia" w:ascii="仿宋_GB2312" w:eastAsia="仿宋_GB2312" w:hAnsiTheme="minorHAnsi" w:cstheme="minorBidi"/>
                <w:szCs w:val="21"/>
              </w:rPr>
              <w:t>6.家庭教育指导师资格证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spacing w:line="400" w:lineRule="exact"/>
              <w:rPr>
                <w:rFonts w:ascii="宋体" w:hAnsi="宋体"/>
                <w:bCs/>
                <w:szCs w:val="21"/>
              </w:rPr>
            </w:pPr>
            <w:r>
              <w:rPr>
                <w:rFonts w:hint="eastAsia" w:ascii="宋体" w:hAnsi="宋体"/>
                <w:bCs/>
                <w:szCs w:val="21"/>
              </w:rPr>
              <w:t>教育与体育类（57）</w:t>
            </w:r>
          </w:p>
        </w:tc>
        <w:tc>
          <w:tcPr>
            <w:tcW w:w="1142" w:type="dxa"/>
          </w:tcPr>
          <w:p>
            <w:pPr>
              <w:spacing w:line="400" w:lineRule="exact"/>
              <w:rPr>
                <w:kern w:val="0"/>
                <w:szCs w:val="21"/>
              </w:rPr>
            </w:pPr>
            <w:r>
              <w:rPr>
                <w:rFonts w:hint="eastAsia" w:ascii="宋体" w:hAnsi="宋体"/>
                <w:bCs/>
                <w:szCs w:val="21"/>
              </w:rPr>
              <w:t>教育类（5701）</w:t>
            </w:r>
          </w:p>
        </w:tc>
        <w:tc>
          <w:tcPr>
            <w:tcW w:w="1134" w:type="dxa"/>
          </w:tcPr>
          <w:p>
            <w:pPr>
              <w:spacing w:line="400" w:lineRule="exact"/>
              <w:rPr>
                <w:rFonts w:ascii="宋体" w:hAnsi="宋体"/>
                <w:bCs/>
                <w:szCs w:val="21"/>
              </w:rPr>
            </w:pPr>
            <w:r>
              <w:rPr>
                <w:rFonts w:hint="eastAsia" w:ascii="宋体" w:hAnsi="宋体"/>
                <w:bCs/>
                <w:szCs w:val="21"/>
              </w:rPr>
              <w:t>居民服务（79）</w:t>
            </w:r>
          </w:p>
          <w:p>
            <w:pPr>
              <w:spacing w:line="400" w:lineRule="exact"/>
              <w:rPr>
                <w:rFonts w:ascii="宋体" w:hAnsi="宋体"/>
                <w:bCs/>
                <w:szCs w:val="21"/>
              </w:rPr>
            </w:pPr>
          </w:p>
        </w:tc>
        <w:tc>
          <w:tcPr>
            <w:tcW w:w="1275" w:type="dxa"/>
          </w:tcPr>
          <w:p>
            <w:pPr>
              <w:spacing w:line="400" w:lineRule="exact"/>
              <w:rPr>
                <w:rFonts w:asciiTheme="minorEastAsia" w:hAnsiTheme="minorEastAsia" w:eastAsiaTheme="minorEastAsia"/>
                <w:bCs/>
                <w:szCs w:val="21"/>
              </w:rPr>
            </w:pPr>
            <w:r>
              <w:rPr>
                <w:rFonts w:hint="eastAsia" w:asciiTheme="minorEastAsia" w:hAnsiTheme="minorEastAsia" w:eastAsiaTheme="minorEastAsia"/>
                <w:szCs w:val="21"/>
              </w:rPr>
              <w:t>社区幼教机构工作人员等，能胜任各类学前教育机构教育教学与管理工作的应用性专门人才。</w:t>
            </w:r>
          </w:p>
        </w:tc>
        <w:tc>
          <w:tcPr>
            <w:tcW w:w="1701" w:type="dxa"/>
          </w:tcPr>
          <w:p>
            <w:pPr>
              <w:spacing w:line="400" w:lineRule="exact"/>
              <w:rPr>
                <w:rFonts w:ascii="宋体" w:hAnsi="宋体"/>
                <w:bCs/>
                <w:szCs w:val="21"/>
              </w:rPr>
            </w:pPr>
            <w:r>
              <w:rPr>
                <w:rFonts w:hint="eastAsia" w:ascii="宋体" w:hAnsi="宋体"/>
                <w:bCs/>
                <w:szCs w:val="21"/>
              </w:rPr>
              <w:t>社区托幼人员、家庭教育咨询人员。</w:t>
            </w:r>
          </w:p>
        </w:tc>
        <w:tc>
          <w:tcPr>
            <w:tcW w:w="3544" w:type="dxa"/>
          </w:tcPr>
          <w:p>
            <w:pPr>
              <w:spacing w:line="400" w:lineRule="exact"/>
              <w:rPr>
                <w:rFonts w:asciiTheme="minorEastAsia" w:hAnsiTheme="minorEastAsia" w:eastAsiaTheme="minorEastAsia"/>
                <w:bCs/>
                <w:szCs w:val="21"/>
              </w:rPr>
            </w:pPr>
            <w:r>
              <w:rPr>
                <w:rFonts w:hint="eastAsia" w:asciiTheme="minorEastAsia" w:hAnsiTheme="minorEastAsia" w:eastAsiaTheme="minorEastAsia"/>
                <w:bCs/>
                <w:szCs w:val="21"/>
              </w:rPr>
              <w:t>保育员</w:t>
            </w:r>
          </w:p>
          <w:p>
            <w:pPr>
              <w:spacing w:line="400" w:lineRule="exact"/>
              <w:rPr>
                <w:rFonts w:asciiTheme="minorEastAsia" w:hAnsiTheme="minorEastAsia" w:eastAsiaTheme="minorEastAsia"/>
                <w:bCs/>
                <w:szCs w:val="21"/>
              </w:rPr>
            </w:pPr>
            <w:r>
              <w:rPr>
                <w:rFonts w:hint="eastAsia" w:asciiTheme="minorEastAsia" w:hAnsiTheme="minorEastAsia" w:eastAsiaTheme="minorEastAsia"/>
                <w:bCs/>
                <w:szCs w:val="21"/>
              </w:rPr>
              <w:t>婴儿护理</w:t>
            </w:r>
          </w:p>
          <w:p>
            <w:pPr>
              <w:spacing w:line="400" w:lineRule="exact"/>
              <w:rPr>
                <w:rFonts w:asciiTheme="minorEastAsia" w:hAnsiTheme="minorEastAsia" w:eastAsiaTheme="minorEastAsia"/>
                <w:bCs/>
                <w:szCs w:val="21"/>
              </w:rPr>
            </w:pPr>
            <w:r>
              <w:rPr>
                <w:rFonts w:hint="eastAsia" w:asciiTheme="minorEastAsia" w:hAnsiTheme="minorEastAsia" w:eastAsiaTheme="minorEastAsia"/>
                <w:bCs/>
                <w:szCs w:val="21"/>
              </w:rPr>
              <w:t>营养师</w:t>
            </w:r>
          </w:p>
          <w:p>
            <w:pPr>
              <w:spacing w:line="400" w:lineRule="exact"/>
              <w:rPr>
                <w:rFonts w:asciiTheme="minorEastAsia" w:hAnsiTheme="minorEastAsia" w:eastAsiaTheme="minorEastAsia"/>
                <w:bCs/>
                <w:szCs w:val="21"/>
              </w:rPr>
            </w:pPr>
            <w:r>
              <w:rPr>
                <w:rFonts w:hint="eastAsia" w:asciiTheme="minorEastAsia" w:hAnsiTheme="minorEastAsia" w:eastAsiaTheme="minorEastAsia"/>
                <w:bCs/>
                <w:szCs w:val="21"/>
              </w:rPr>
              <w:t>器乐艺术指导</w:t>
            </w:r>
          </w:p>
        </w:tc>
      </w:tr>
    </w:tbl>
    <w:p>
      <w:pPr>
        <w:spacing w:line="360" w:lineRule="auto"/>
        <w:rPr>
          <w:rStyle w:val="7"/>
          <w:rFonts w:ascii="宋体" w:hAnsi="宋体"/>
          <w:szCs w:val="21"/>
        </w:rPr>
      </w:pPr>
    </w:p>
    <w:p>
      <w:pPr>
        <w:spacing w:line="360" w:lineRule="auto"/>
        <w:ind w:firstLine="422" w:firstLineChars="200"/>
        <w:rPr>
          <w:rStyle w:val="7"/>
          <w:rFonts w:ascii="宋体" w:hAnsi="宋体"/>
          <w:szCs w:val="21"/>
        </w:rPr>
      </w:pPr>
      <w:r>
        <w:rPr>
          <w:rStyle w:val="7"/>
          <w:rFonts w:hint="eastAsia" w:ascii="宋体" w:hAnsi="宋体"/>
          <w:szCs w:val="21"/>
        </w:rPr>
        <w:t>(二) 职业岗位群和核心能力分析</w:t>
      </w:r>
    </w:p>
    <w:tbl>
      <w:tblPr>
        <w:tblStyle w:val="120"/>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4236" w:type="dxa"/>
            <w:shd w:val="clear" w:color="auto" w:fill="auto"/>
          </w:tcPr>
          <w:p>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124" w:type="dxa"/>
            <w:shd w:val="clear" w:color="auto" w:fill="auto"/>
          </w:tcPr>
          <w:p>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pPr>
              <w:widowControl/>
              <w:spacing w:line="360" w:lineRule="auto"/>
              <w:jc w:val="left"/>
              <w:rPr>
                <w:rFonts w:ascii="宋体" w:hAnsi="宋体" w:cs="Arial"/>
                <w:kern w:val="0"/>
                <w:sz w:val="18"/>
                <w:szCs w:val="18"/>
              </w:rPr>
            </w:pPr>
            <w:r>
              <w:rPr>
                <w:rFonts w:hint="eastAsia" w:ascii="宋体" w:hAnsi="宋体" w:cs="Arial"/>
                <w:kern w:val="0"/>
                <w:sz w:val="18"/>
                <w:szCs w:val="18"/>
              </w:rPr>
              <w:t>幼儿园教师及相关</w:t>
            </w:r>
          </w:p>
          <w:p>
            <w:pPr>
              <w:widowControl/>
              <w:spacing w:line="360" w:lineRule="auto"/>
              <w:jc w:val="left"/>
              <w:rPr>
                <w:rFonts w:ascii="宋体" w:hAnsi="宋体" w:cs="Arial"/>
                <w:kern w:val="0"/>
                <w:sz w:val="18"/>
                <w:szCs w:val="18"/>
              </w:rPr>
            </w:pPr>
            <w:r>
              <w:rPr>
                <w:rFonts w:hint="eastAsia" w:ascii="宋体" w:hAnsi="宋体" w:cs="Arial"/>
                <w:kern w:val="0"/>
                <w:sz w:val="18"/>
                <w:szCs w:val="18"/>
              </w:rPr>
              <w:t>工作</w:t>
            </w:r>
          </w:p>
        </w:tc>
        <w:tc>
          <w:tcPr>
            <w:tcW w:w="4236" w:type="dxa"/>
            <w:shd w:val="clear" w:color="auto" w:fill="auto"/>
          </w:tcPr>
          <w:p>
            <w:pPr>
              <w:spacing w:line="360" w:lineRule="auto"/>
              <w:rPr>
                <w:rFonts w:ascii="宋体" w:hAnsi="宋体" w:cs="Arial"/>
                <w:kern w:val="0"/>
                <w:szCs w:val="21"/>
              </w:rPr>
            </w:pPr>
            <w:r>
              <w:rPr>
                <w:rFonts w:hint="eastAsia" w:ascii="宋体" w:hAnsi="宋体" w:cs="Arial"/>
                <w:kern w:val="0"/>
                <w:szCs w:val="21"/>
              </w:rPr>
              <w:t>1. 掌握幼儿身心发展特点及规律，掌握幼儿保育和教育的知识，具有幼儿一日生活组织与保育的能力；</w:t>
            </w:r>
          </w:p>
          <w:p>
            <w:pPr>
              <w:spacing w:line="360" w:lineRule="auto"/>
              <w:rPr>
                <w:rFonts w:ascii="宋体" w:hAnsi="宋体" w:cs="Arial"/>
                <w:kern w:val="0"/>
                <w:szCs w:val="21"/>
              </w:rPr>
            </w:pPr>
            <w:r>
              <w:rPr>
                <w:rFonts w:hint="eastAsia" w:ascii="宋体" w:hAnsi="宋体" w:cs="Arial"/>
                <w:kern w:val="0"/>
                <w:szCs w:val="21"/>
              </w:rPr>
              <w:t>2. 掌握幼儿游戏活动组织与实施的知识与方法，具有支持与引导幼儿游戏活动的能力；</w:t>
            </w:r>
          </w:p>
          <w:p>
            <w:pPr>
              <w:spacing w:line="360" w:lineRule="auto"/>
              <w:rPr>
                <w:rFonts w:ascii="宋体" w:hAnsi="宋体" w:cs="Arial"/>
                <w:kern w:val="0"/>
                <w:szCs w:val="21"/>
              </w:rPr>
            </w:pPr>
            <w:r>
              <w:rPr>
                <w:rFonts w:hint="eastAsia" w:ascii="宋体" w:hAnsi="宋体" w:cs="Arial"/>
                <w:kern w:val="0"/>
                <w:szCs w:val="21"/>
              </w:rPr>
              <w:t>3. 掌握幼儿园健康、语言、社会、科学和艺术领域教育的学科特点与知识，具备各领域教育活动的计划、实施与评价能力；</w:t>
            </w:r>
          </w:p>
          <w:p>
            <w:pPr>
              <w:spacing w:line="360" w:lineRule="auto"/>
              <w:rPr>
                <w:rFonts w:ascii="宋体" w:hAnsi="宋体" w:cs="Arial"/>
                <w:kern w:val="0"/>
                <w:szCs w:val="21"/>
              </w:rPr>
            </w:pPr>
            <w:r>
              <w:rPr>
                <w:rFonts w:hint="eastAsia" w:ascii="宋体" w:hAnsi="宋体" w:cs="Arial"/>
                <w:kern w:val="0"/>
                <w:szCs w:val="21"/>
              </w:rPr>
              <w:t>4. 掌握幼儿园环境创设的知识与方法，具备幼儿园环境创设与利用的能力；</w:t>
            </w:r>
          </w:p>
          <w:p>
            <w:pPr>
              <w:spacing w:line="360" w:lineRule="auto"/>
              <w:rPr>
                <w:rFonts w:ascii="宋体" w:hAnsi="宋体" w:cs="Arial"/>
                <w:kern w:val="0"/>
                <w:szCs w:val="21"/>
              </w:rPr>
            </w:pPr>
            <w:r>
              <w:rPr>
                <w:rFonts w:hint="eastAsia" w:ascii="宋体" w:hAnsi="宋体" w:cs="Arial"/>
                <w:kern w:val="0"/>
                <w:szCs w:val="21"/>
              </w:rPr>
              <w:t>5. 掌握观察、谈话和记录等了解幼儿的方法，具备与幼儿、家长有效沟通，正确激励与评价幼儿的能力，具备班级管理和家园共育等综合育人能力及融合教育能力；</w:t>
            </w:r>
          </w:p>
          <w:p>
            <w:pPr>
              <w:spacing w:line="360" w:lineRule="auto"/>
              <w:rPr>
                <w:rFonts w:ascii="宋体" w:hAnsi="宋体" w:cs="Arial"/>
                <w:kern w:val="0"/>
                <w:szCs w:val="21"/>
              </w:rPr>
            </w:pPr>
            <w:r>
              <w:rPr>
                <w:rFonts w:hint="eastAsia" w:ascii="宋体" w:hAnsi="宋体" w:cs="Arial"/>
                <w:kern w:val="0"/>
                <w:szCs w:val="21"/>
              </w:rPr>
              <w:t>6. 具有反思和改进保教工作的能力；</w:t>
            </w:r>
          </w:p>
          <w:p>
            <w:pPr>
              <w:spacing w:line="360" w:lineRule="auto"/>
              <w:rPr>
                <w:rFonts w:ascii="宋体" w:hAnsi="宋体" w:cs="Arial"/>
                <w:kern w:val="0"/>
                <w:szCs w:val="21"/>
              </w:rPr>
            </w:pPr>
            <w:r>
              <w:rPr>
                <w:rFonts w:hint="eastAsia" w:ascii="宋体" w:hAnsi="宋体" w:cs="Arial"/>
                <w:kern w:val="0"/>
                <w:szCs w:val="21"/>
              </w:rPr>
              <w:t>7. 具有良好的语言表达能力、沟通与合作能力；</w:t>
            </w:r>
          </w:p>
          <w:p>
            <w:pPr>
              <w:spacing w:line="360" w:lineRule="auto"/>
              <w:rPr>
                <w:rFonts w:ascii="宋体" w:hAnsi="宋体" w:cs="Arial"/>
                <w:kern w:val="0"/>
                <w:szCs w:val="21"/>
              </w:rPr>
            </w:pPr>
            <w:r>
              <w:rPr>
                <w:rFonts w:hint="eastAsia" w:ascii="宋体" w:hAnsi="宋体" w:cs="Arial"/>
                <w:kern w:val="0"/>
                <w:szCs w:val="21"/>
              </w:rPr>
              <w:t>8. 具有良好的数字技能和适应教育智能化发展需求的现代教育技术应用能力；</w:t>
            </w:r>
          </w:p>
          <w:p>
            <w:pPr>
              <w:spacing w:line="360" w:lineRule="auto"/>
              <w:rPr>
                <w:rFonts w:ascii="宋体" w:hAnsi="宋体" w:cs="Arial"/>
                <w:kern w:val="0"/>
                <w:szCs w:val="21"/>
              </w:rPr>
            </w:pPr>
            <w:r>
              <w:rPr>
                <w:rFonts w:hint="eastAsia" w:ascii="宋体" w:hAnsi="宋体" w:cs="Arial"/>
                <w:kern w:val="0"/>
                <w:szCs w:val="21"/>
              </w:rPr>
              <w:t>9. 具有探究学习、终身学习和可持续发展的能力。</w:t>
            </w:r>
          </w:p>
        </w:tc>
        <w:tc>
          <w:tcPr>
            <w:tcW w:w="2124" w:type="dxa"/>
            <w:shd w:val="clear" w:color="auto" w:fill="auto"/>
          </w:tcPr>
          <w:p>
            <w:pPr>
              <w:spacing w:line="360" w:lineRule="auto"/>
              <w:rPr>
                <w:rFonts w:ascii="宋体" w:hAnsi="宋体" w:cs="Arial"/>
                <w:kern w:val="0"/>
                <w:szCs w:val="21"/>
              </w:rPr>
            </w:pPr>
            <w:r>
              <w:rPr>
                <w:rFonts w:hint="eastAsia" w:ascii="宋体" w:hAnsi="宋体" w:cs="Arial"/>
                <w:kern w:val="0"/>
                <w:szCs w:val="21"/>
              </w:rPr>
              <w:t>1.组织好幼儿一日教育教学活动，指导、协助保育员做好班级常规保育和卫生工作；</w:t>
            </w:r>
          </w:p>
          <w:p>
            <w:pPr>
              <w:spacing w:line="360" w:lineRule="auto"/>
              <w:rPr>
                <w:rFonts w:ascii="宋体" w:hAnsi="宋体" w:cs="Arial"/>
                <w:kern w:val="0"/>
                <w:szCs w:val="21"/>
              </w:rPr>
            </w:pPr>
            <w:r>
              <w:rPr>
                <w:rFonts w:hint="eastAsia" w:ascii="宋体" w:hAnsi="宋体" w:cs="Arial"/>
                <w:kern w:val="0"/>
                <w:szCs w:val="21"/>
              </w:rPr>
              <w:t>2.建立良好师幼关系及班级秩序和规则，为幼儿创设适宜的游戏环境；</w:t>
            </w:r>
          </w:p>
          <w:p>
            <w:pPr>
              <w:spacing w:line="360" w:lineRule="auto"/>
              <w:rPr>
                <w:rFonts w:ascii="宋体" w:hAnsi="宋体" w:cs="Arial"/>
                <w:kern w:val="0"/>
                <w:szCs w:val="21"/>
              </w:rPr>
            </w:pPr>
            <w:r>
              <w:rPr>
                <w:rFonts w:hint="eastAsia" w:ascii="宋体" w:hAnsi="宋体" w:cs="Arial"/>
                <w:kern w:val="0"/>
                <w:szCs w:val="21"/>
              </w:rPr>
              <w:t>3.做好交接班工作，家长特别要求、患儿药品、物品具体登记交接。</w:t>
            </w:r>
          </w:p>
          <w:p>
            <w:pPr>
              <w:spacing w:line="360" w:lineRule="auto"/>
              <w:rPr>
                <w:rFonts w:ascii="宋体" w:hAnsi="宋体" w:cs="Arial"/>
                <w:kern w:val="0"/>
                <w:szCs w:val="21"/>
              </w:rPr>
            </w:pPr>
            <w:r>
              <w:rPr>
                <w:rFonts w:hint="eastAsia" w:ascii="宋体" w:hAnsi="宋体" w:cs="Arial"/>
                <w:kern w:val="0"/>
                <w:szCs w:val="21"/>
              </w:rPr>
              <w:t>4.密切家园联系，做好家教宣传，按时分发“家园联系手册”，常常与家长保持联系，及时交换意见。</w:t>
            </w:r>
          </w:p>
          <w:p>
            <w:pPr>
              <w:spacing w:line="360" w:lineRule="auto"/>
              <w:rPr>
                <w:rFonts w:ascii="宋体" w:hAnsi="宋体" w:cs="Arial"/>
                <w:kern w:val="0"/>
                <w:szCs w:val="21"/>
              </w:rPr>
            </w:pPr>
          </w:p>
        </w:tc>
        <w:tc>
          <w:tcPr>
            <w:tcW w:w="1305" w:type="dxa"/>
            <w:shd w:val="clear" w:color="auto" w:fill="auto"/>
          </w:tcPr>
          <w:p>
            <w:pPr>
              <w:widowControl/>
              <w:spacing w:line="360" w:lineRule="auto"/>
              <w:jc w:val="left"/>
              <w:rPr>
                <w:rFonts w:ascii="宋体" w:hAnsi="宋体" w:cs="Arial"/>
                <w:kern w:val="0"/>
                <w:szCs w:val="21"/>
              </w:rPr>
            </w:pPr>
            <w:r>
              <w:rPr>
                <w:rFonts w:hint="eastAsia" w:ascii="宋体" w:hAnsi="宋体" w:cs="Arial"/>
                <w:kern w:val="0"/>
                <w:szCs w:val="21"/>
              </w:rPr>
              <w:t>学前儿童卫生与保健、学前儿童发展心理学、幼儿园游戏指导指导、幼儿园环境创设、幼儿行为观察与研究、幼儿园活动设计与指导、歌曲弹唱、儿童舞蹈创编</w:t>
            </w:r>
          </w:p>
          <w:p>
            <w:pPr>
              <w:widowControl/>
              <w:spacing w:line="360" w:lineRule="auto"/>
              <w:jc w:val="left"/>
              <w:rPr>
                <w:rFonts w:ascii="宋体" w:hAnsi="宋体" w:cs="Arial"/>
                <w:kern w:val="0"/>
                <w:szCs w:val="21"/>
              </w:rPr>
            </w:pPr>
            <w:r>
              <w:rPr>
                <w:rFonts w:hint="eastAsia" w:ascii="宋体" w:hAnsi="宋体" w:cs="Arial"/>
                <w:kern w:val="0"/>
                <w:szCs w:val="21"/>
              </w:rPr>
              <w:t>、幼儿园课程概论</w:t>
            </w:r>
          </w:p>
        </w:tc>
        <w:tc>
          <w:tcPr>
            <w:tcW w:w="1703" w:type="dxa"/>
            <w:shd w:val="clear" w:color="auto" w:fill="auto"/>
          </w:tcPr>
          <w:p>
            <w:pPr>
              <w:widowControl/>
              <w:spacing w:line="360" w:lineRule="auto"/>
              <w:jc w:val="left"/>
              <w:rPr>
                <w:rFonts w:ascii="宋体" w:hAnsi="宋体" w:cs="Arial"/>
                <w:kern w:val="0"/>
                <w:szCs w:val="21"/>
              </w:rPr>
            </w:pPr>
            <w:r>
              <w:rPr>
                <w:rFonts w:hint="eastAsia" w:ascii="宋体" w:hAnsi="宋体" w:cs="Arial"/>
                <w:kern w:val="0"/>
                <w:szCs w:val="21"/>
              </w:rPr>
              <w:t>保教知识与能力、儿童文学、教师口语、大学生心理健康与教育、大学语文、大学英语、体育与健康、国家安全教育、思想道德修养与法律基础</w:t>
            </w:r>
          </w:p>
        </w:tc>
      </w:tr>
    </w:tbl>
    <w:p>
      <w:pPr>
        <w:spacing w:line="360" w:lineRule="auto"/>
        <w:ind w:firstLine="422" w:firstLineChars="200"/>
        <w:rPr>
          <w:rStyle w:val="7"/>
          <w:rFonts w:ascii="宋体" w:hAnsi="宋体"/>
          <w:szCs w:val="21"/>
        </w:rPr>
      </w:pPr>
    </w:p>
    <w:p>
      <w:pPr>
        <w:spacing w:line="360" w:lineRule="auto"/>
        <w:ind w:firstLine="417" w:firstLineChars="198"/>
        <w:rPr>
          <w:rStyle w:val="7"/>
          <w:rFonts w:ascii="宋体" w:hAnsi="宋体"/>
          <w:szCs w:val="21"/>
        </w:rPr>
      </w:pPr>
      <w:r>
        <w:rPr>
          <w:rFonts w:hint="eastAsia" w:ascii="宋体" w:hAnsi="宋体"/>
          <w:b/>
          <w:szCs w:val="21"/>
        </w:rPr>
        <w:t>五</w:t>
      </w:r>
      <w:r>
        <w:rPr>
          <w:rFonts w:hint="eastAsia" w:ascii="宋体" w:hAnsi="宋体"/>
          <w:szCs w:val="21"/>
        </w:rPr>
        <w:t>、</w:t>
      </w:r>
      <w:r>
        <w:rPr>
          <w:rStyle w:val="7"/>
          <w:rFonts w:hint="eastAsia" w:ascii="宋体" w:hAnsi="宋体"/>
          <w:szCs w:val="21"/>
        </w:rPr>
        <w:t>培养目标</w:t>
      </w:r>
    </w:p>
    <w:p>
      <w:pPr>
        <w:spacing w:line="360" w:lineRule="auto"/>
        <w:ind w:firstLine="415" w:firstLineChars="198"/>
        <w:rPr>
          <w:rFonts w:ascii="宋体" w:hAnsi="宋体"/>
          <w:b/>
          <w:szCs w:val="21"/>
        </w:rPr>
      </w:pPr>
      <w:r>
        <w:rPr>
          <w:rFonts w:hint="eastAsia" w:ascii="宋体" w:hAnsi="宋体" w:cs="Arial"/>
          <w:kern w:val="0"/>
          <w:szCs w:val="21"/>
        </w:rPr>
        <w:t>本专业培养培养与新时代中国特色社会主义的建设要求相适应，德、智、体、美、劳全面发展，热爱儿童和学前教育事业，具有良好的教师职业道德和正确的幼儿教育理念，具备系统扎实的学前教育专业知识与保教实践能力，能胜任幼儿园教育教学的专科层次的应用型学前教育工作者。</w:t>
      </w:r>
    </w:p>
    <w:p>
      <w:pPr>
        <w:spacing w:line="360" w:lineRule="auto"/>
        <w:ind w:firstLine="417" w:firstLineChars="198"/>
        <w:rPr>
          <w:rFonts w:ascii="宋体" w:hAnsi="宋体"/>
          <w:bCs/>
          <w:szCs w:val="21"/>
        </w:rPr>
      </w:pPr>
      <w:r>
        <w:rPr>
          <w:rFonts w:hint="eastAsia" w:ascii="宋体" w:hAnsi="宋体"/>
          <w:b/>
          <w:szCs w:val="21"/>
        </w:rPr>
        <w:t>六、</w:t>
      </w:r>
      <w:r>
        <w:rPr>
          <w:rStyle w:val="7"/>
          <w:rFonts w:hint="eastAsia" w:ascii="宋体" w:hAnsi="宋体"/>
          <w:szCs w:val="21"/>
        </w:rPr>
        <w:t>培养规格</w:t>
      </w:r>
    </w:p>
    <w:p>
      <w:pPr>
        <w:spacing w:line="400" w:lineRule="exact"/>
        <w:ind w:firstLine="435"/>
        <w:rPr>
          <w:b/>
        </w:rPr>
      </w:pPr>
      <w:r>
        <w:rPr>
          <w:rFonts w:hint="eastAsia"/>
          <w:b/>
        </w:rPr>
        <w:t>（一）素质</w:t>
      </w:r>
    </w:p>
    <w:p>
      <w:pPr>
        <w:pStyle w:val="14"/>
        <w:numPr>
          <w:ilvl w:val="0"/>
          <w:numId w:val="1"/>
        </w:numPr>
        <w:spacing w:line="360" w:lineRule="auto"/>
        <w:ind w:firstLineChars="0"/>
        <w:rPr>
          <w:rFonts w:ascii="宋体" w:hAnsi="宋体"/>
          <w:szCs w:val="21"/>
        </w:rPr>
      </w:pPr>
      <w:r>
        <w:rPr>
          <w:rFonts w:hint="eastAsia" w:ascii="宋体" w:hAnsi="宋体"/>
          <w:szCs w:val="21"/>
        </w:rPr>
        <w:t>思想政治素质：掌握党的基本理论知识，践行社会主义核心价值观，贯彻党的教育方针，坚持立德树人的教育原则。热爱祖国，关心幼儿，树立科学的世界观、人生观和价值观，遵纪守法，行为规范。具有良好的人文素质和心理素质及积极向上的生活态度，具有社会责任感以及与人合作、沟通的良好愿望和能力，具有团结协作的精神。</w:t>
      </w:r>
    </w:p>
    <w:p>
      <w:pPr>
        <w:pStyle w:val="14"/>
        <w:numPr>
          <w:ilvl w:val="0"/>
          <w:numId w:val="1"/>
        </w:numPr>
        <w:spacing w:line="360" w:lineRule="auto"/>
        <w:ind w:firstLineChars="0"/>
        <w:rPr>
          <w:rFonts w:ascii="宋体" w:hAnsi="宋体"/>
          <w:szCs w:val="21"/>
        </w:rPr>
      </w:pPr>
      <w:r>
        <w:rPr>
          <w:rFonts w:hint="eastAsia" w:ascii="宋体" w:hAnsi="宋体"/>
          <w:szCs w:val="21"/>
        </w:rPr>
        <w:t>文化素质：：具有人文底蕴和科学精神，形成“学生为本、师德为先、能力为重、终身学习”的专业理念；具备一定的人文社会科学与自然科学等方面的通识性知识。</w:t>
      </w:r>
    </w:p>
    <w:p>
      <w:pPr>
        <w:pStyle w:val="14"/>
        <w:numPr>
          <w:ilvl w:val="0"/>
          <w:numId w:val="1"/>
        </w:numPr>
        <w:spacing w:line="360" w:lineRule="auto"/>
        <w:ind w:firstLineChars="0"/>
        <w:rPr>
          <w:rFonts w:ascii="宋体" w:hAnsi="宋体"/>
          <w:szCs w:val="21"/>
        </w:rPr>
      </w:pPr>
      <w:r>
        <w:rPr>
          <w:rFonts w:hint="eastAsia" w:ascii="宋体" w:hAnsi="宋体"/>
          <w:szCs w:val="21"/>
        </w:rPr>
        <w:t>职业素质：热爱学前教育事业，了解学前教育工作者的职责，具有良好的专业态度和敬业精神；熟悉国家和地方有关学前教育的政策和法规；了解该专业各学科的发展趋势和学前教育的理论动态，了解幼儿生理、心理的特点和规律，具有良好的儿童教育观；具有较高的艺术修养和审美情趣。在教育教学技能尤其是艺术技能方面有1-2项突出的特长。具有良好的生活、卫生和健身锻炼的习惯，达到国家规定的大学生体质健康合格的标准。</w:t>
      </w:r>
    </w:p>
    <w:p>
      <w:pPr>
        <w:pStyle w:val="14"/>
        <w:numPr>
          <w:ilvl w:val="0"/>
          <w:numId w:val="1"/>
        </w:numPr>
        <w:spacing w:line="360" w:lineRule="auto"/>
        <w:ind w:firstLineChars="0"/>
        <w:rPr>
          <w:rFonts w:ascii="宋体" w:hAnsi="宋体"/>
          <w:szCs w:val="21"/>
        </w:rPr>
      </w:pPr>
      <w:r>
        <w:rPr>
          <w:rFonts w:hint="eastAsia" w:ascii="宋体" w:hAnsi="宋体"/>
          <w:szCs w:val="21"/>
        </w:rPr>
        <w:t>身心素质：：热爱生活，情绪稳定，积极上进，具有健康的体魄、高雅的情趣和健全的人格；掌握科学的身心保健方法；具有良好的生活习惯、行为习惯和自我管理能力；能正确评价并调控自己。具备较强的职业认同感和心理适应能力。</w:t>
      </w:r>
    </w:p>
    <w:p>
      <w:pPr>
        <w:spacing w:line="400" w:lineRule="exact"/>
        <w:ind w:firstLine="316" w:firstLineChars="150"/>
        <w:rPr>
          <w:b/>
        </w:rPr>
      </w:pPr>
      <w:r>
        <w:rPr>
          <w:rFonts w:hint="eastAsia"/>
          <w:b/>
        </w:rPr>
        <w:t xml:space="preserve">（二）知识 </w:t>
      </w:r>
    </w:p>
    <w:p>
      <w:pPr>
        <w:pStyle w:val="14"/>
        <w:numPr>
          <w:ilvl w:val="1"/>
          <w:numId w:val="2"/>
        </w:numPr>
        <w:spacing w:line="360" w:lineRule="auto"/>
        <w:ind w:firstLineChars="0"/>
        <w:rPr>
          <w:rFonts w:ascii="宋体" w:hAnsi="宋体"/>
          <w:szCs w:val="21"/>
        </w:rPr>
      </w:pPr>
      <w:r>
        <w:rPr>
          <w:rFonts w:hint="eastAsia" w:ascii="宋体" w:hAnsi="宋体"/>
          <w:szCs w:val="21"/>
        </w:rPr>
        <w:t>掌握必备的思想政治理论、科学文化基础知识和中华优秀传统文化知识；</w:t>
      </w:r>
    </w:p>
    <w:p>
      <w:pPr>
        <w:pStyle w:val="14"/>
        <w:numPr>
          <w:ilvl w:val="1"/>
          <w:numId w:val="2"/>
        </w:numPr>
        <w:spacing w:line="360" w:lineRule="auto"/>
        <w:ind w:firstLineChars="0"/>
        <w:rPr>
          <w:rFonts w:ascii="宋体" w:hAnsi="宋体"/>
          <w:szCs w:val="21"/>
        </w:rPr>
      </w:pPr>
      <w:r>
        <w:rPr>
          <w:rFonts w:hint="eastAsia" w:ascii="宋体" w:hAnsi="宋体"/>
          <w:szCs w:val="21"/>
        </w:rPr>
        <w:t>学习和掌握广泛的文化科学知识。包括语言文学的表达、写作知识、数学知识、法律法规知识、英语知识、信息技术运用知识、体育与健康知识、自然科学知识等。</w:t>
      </w:r>
    </w:p>
    <w:p>
      <w:pPr>
        <w:pStyle w:val="14"/>
        <w:numPr>
          <w:ilvl w:val="1"/>
          <w:numId w:val="2"/>
        </w:numPr>
        <w:spacing w:line="360" w:lineRule="auto"/>
        <w:ind w:firstLineChars="0"/>
        <w:rPr>
          <w:rFonts w:ascii="宋体" w:hAnsi="宋体"/>
          <w:szCs w:val="21"/>
        </w:rPr>
      </w:pPr>
      <w:r>
        <w:rPr>
          <w:rFonts w:hint="eastAsia" w:ascii="宋体" w:hAnsi="宋体"/>
          <w:szCs w:val="21"/>
        </w:rPr>
        <w:t>学习和掌握音乐、舞蹈、美术等学前教育应具备的基础知识。</w:t>
      </w:r>
    </w:p>
    <w:p>
      <w:pPr>
        <w:pStyle w:val="14"/>
        <w:numPr>
          <w:ilvl w:val="1"/>
          <w:numId w:val="2"/>
        </w:numPr>
        <w:spacing w:line="360" w:lineRule="auto"/>
        <w:ind w:firstLineChars="0"/>
        <w:rPr>
          <w:rFonts w:ascii="宋体" w:hAnsi="宋体"/>
          <w:szCs w:val="21"/>
        </w:rPr>
      </w:pPr>
      <w:r>
        <w:rPr>
          <w:rFonts w:hint="eastAsia" w:ascii="宋体" w:hAnsi="宋体"/>
          <w:szCs w:val="21"/>
        </w:rPr>
        <w:t>学习和掌握幼儿教育学、心理学、卫生保健等幼儿教育专业方面的知识。</w:t>
      </w:r>
    </w:p>
    <w:p>
      <w:pPr>
        <w:pStyle w:val="14"/>
        <w:numPr>
          <w:ilvl w:val="1"/>
          <w:numId w:val="2"/>
        </w:numPr>
        <w:spacing w:line="360" w:lineRule="auto"/>
        <w:ind w:firstLineChars="0"/>
        <w:rPr>
          <w:rFonts w:ascii="宋体" w:hAnsi="宋体"/>
          <w:szCs w:val="21"/>
        </w:rPr>
      </w:pPr>
      <w:r>
        <w:rPr>
          <w:rFonts w:hint="eastAsia" w:ascii="宋体" w:hAnsi="宋体"/>
          <w:szCs w:val="21"/>
        </w:rPr>
        <w:t>学习和掌握学前教育管理、幼儿活动策划与设计等管理和运用方面的知识。</w:t>
      </w:r>
    </w:p>
    <w:p>
      <w:pPr>
        <w:numPr>
          <w:ilvl w:val="0"/>
          <w:numId w:val="3"/>
        </w:numPr>
        <w:ind w:firstLine="316" w:firstLineChars="150"/>
        <w:rPr>
          <w:b/>
        </w:rPr>
      </w:pPr>
      <w:r>
        <w:rPr>
          <w:rFonts w:hint="eastAsia"/>
          <w:b/>
        </w:rPr>
        <w:t>能力</w:t>
      </w:r>
    </w:p>
    <w:p>
      <w:pPr>
        <w:pStyle w:val="14"/>
        <w:numPr>
          <w:ilvl w:val="0"/>
          <w:numId w:val="4"/>
        </w:numPr>
        <w:spacing w:line="360" w:lineRule="auto"/>
        <w:ind w:firstLineChars="0"/>
        <w:rPr>
          <w:rFonts w:ascii="宋体" w:hAnsi="宋体"/>
          <w:szCs w:val="21"/>
        </w:rPr>
      </w:pPr>
      <w:r>
        <w:rPr>
          <w:rFonts w:hint="eastAsia" w:ascii="宋体" w:hAnsi="宋体"/>
          <w:szCs w:val="21"/>
        </w:rPr>
        <w:t>具有良好的普通话、英语、计算机应用等基础能力。普通话达到二级乙等及以上水平，英语和计算机应用能力达到规定的等级要求，获得应有的资格能力证书。</w:t>
      </w:r>
    </w:p>
    <w:p>
      <w:pPr>
        <w:pStyle w:val="14"/>
        <w:numPr>
          <w:ilvl w:val="0"/>
          <w:numId w:val="4"/>
        </w:numPr>
        <w:spacing w:line="360" w:lineRule="auto"/>
        <w:ind w:firstLineChars="0"/>
        <w:rPr>
          <w:rFonts w:ascii="宋体" w:hAnsi="宋体"/>
          <w:szCs w:val="21"/>
        </w:rPr>
      </w:pPr>
      <w:r>
        <w:rPr>
          <w:rFonts w:hint="eastAsia" w:ascii="宋体" w:hAnsi="宋体"/>
          <w:szCs w:val="21"/>
        </w:rPr>
        <w:t>具有学前教育教学基本的说、弹、唱、跳、画等技能。</w:t>
      </w:r>
    </w:p>
    <w:p>
      <w:pPr>
        <w:pStyle w:val="14"/>
        <w:numPr>
          <w:ilvl w:val="0"/>
          <w:numId w:val="4"/>
        </w:numPr>
        <w:spacing w:line="360" w:lineRule="auto"/>
        <w:ind w:firstLineChars="0"/>
        <w:rPr>
          <w:rFonts w:ascii="宋体" w:hAnsi="宋体"/>
          <w:szCs w:val="21"/>
        </w:rPr>
      </w:pPr>
      <w:r>
        <w:rPr>
          <w:rFonts w:hint="eastAsia" w:ascii="宋体" w:hAnsi="宋体"/>
          <w:szCs w:val="21"/>
        </w:rPr>
        <w:t>具有幼儿教育教学方案设计和实施的能力。</w:t>
      </w:r>
    </w:p>
    <w:p>
      <w:pPr>
        <w:pStyle w:val="14"/>
        <w:numPr>
          <w:ilvl w:val="0"/>
          <w:numId w:val="4"/>
        </w:numPr>
        <w:spacing w:line="360" w:lineRule="auto"/>
        <w:ind w:firstLineChars="0"/>
        <w:rPr>
          <w:rFonts w:ascii="宋体" w:hAnsi="宋体"/>
          <w:szCs w:val="21"/>
        </w:rPr>
      </w:pPr>
      <w:r>
        <w:rPr>
          <w:rFonts w:hint="eastAsia" w:ascii="宋体" w:hAnsi="宋体"/>
          <w:szCs w:val="21"/>
        </w:rPr>
        <w:t>具有与幼儿及家长良好的沟通、交往的能力</w:t>
      </w:r>
    </w:p>
    <w:p>
      <w:pPr>
        <w:pStyle w:val="14"/>
        <w:numPr>
          <w:ilvl w:val="0"/>
          <w:numId w:val="4"/>
        </w:numPr>
        <w:spacing w:line="360" w:lineRule="auto"/>
        <w:ind w:firstLineChars="0"/>
        <w:rPr>
          <w:rFonts w:ascii="宋体" w:hAnsi="宋体"/>
          <w:szCs w:val="21"/>
        </w:rPr>
      </w:pPr>
      <w:r>
        <w:rPr>
          <w:rFonts w:hint="eastAsia" w:ascii="宋体" w:hAnsi="宋体"/>
          <w:szCs w:val="21"/>
        </w:rPr>
        <w:t>具有幼儿园、幼儿班级及学生管理的能力。</w:t>
      </w:r>
    </w:p>
    <w:p>
      <w:pPr>
        <w:pStyle w:val="14"/>
        <w:numPr>
          <w:ilvl w:val="0"/>
          <w:numId w:val="4"/>
        </w:numPr>
        <w:spacing w:line="360" w:lineRule="auto"/>
        <w:ind w:firstLineChars="0"/>
        <w:rPr>
          <w:rFonts w:ascii="宋体" w:hAnsi="宋体"/>
          <w:szCs w:val="21"/>
        </w:rPr>
      </w:pPr>
      <w:r>
        <w:rPr>
          <w:rFonts w:hint="eastAsia" w:ascii="宋体" w:hAnsi="宋体"/>
          <w:szCs w:val="21"/>
        </w:rPr>
        <w:t>掌握学前教育的先进教学理论和方法并进行实际操作</w:t>
      </w:r>
    </w:p>
    <w:p>
      <w:pPr>
        <w:pStyle w:val="14"/>
        <w:numPr>
          <w:ilvl w:val="0"/>
          <w:numId w:val="4"/>
        </w:numPr>
        <w:spacing w:line="360" w:lineRule="auto"/>
        <w:ind w:firstLineChars="0"/>
        <w:rPr>
          <w:rFonts w:ascii="宋体" w:hAnsi="宋体"/>
          <w:szCs w:val="21"/>
        </w:rPr>
      </w:pPr>
      <w:r>
        <w:rPr>
          <w:rFonts w:hint="eastAsia" w:ascii="宋体" w:hAnsi="宋体"/>
          <w:szCs w:val="21"/>
        </w:rPr>
        <w:t>具有一定的学前教育科研能力。</w:t>
      </w:r>
    </w:p>
    <w:p>
      <w:pPr>
        <w:spacing w:line="360" w:lineRule="auto"/>
        <w:ind w:firstLine="417" w:firstLineChars="198"/>
        <w:rPr>
          <w:rFonts w:ascii="宋体" w:hAnsi="宋体"/>
          <w:b/>
          <w:szCs w:val="21"/>
        </w:rPr>
      </w:pPr>
      <w:r>
        <w:rPr>
          <w:rFonts w:hint="eastAsia" w:ascii="宋体" w:hAnsi="宋体"/>
          <w:b/>
          <w:szCs w:val="21"/>
        </w:rPr>
        <w:t>七、毕业要求</w:t>
      </w:r>
    </w:p>
    <w:p>
      <w:pPr>
        <w:spacing w:line="360" w:lineRule="auto"/>
        <w:ind w:firstLine="417" w:firstLineChars="198"/>
        <w:rPr>
          <w:rFonts w:ascii="宋体" w:hAnsi="宋体"/>
          <w:b/>
          <w:bCs/>
          <w:szCs w:val="21"/>
        </w:rPr>
      </w:pPr>
      <w:r>
        <w:rPr>
          <w:rFonts w:hint="eastAsia" w:ascii="宋体" w:hAnsi="宋体"/>
          <w:b/>
          <w:bCs/>
          <w:szCs w:val="21"/>
        </w:rPr>
        <w:t>1．毕业要求</w:t>
      </w:r>
    </w:p>
    <w:p>
      <w:pPr>
        <w:spacing w:line="360" w:lineRule="auto"/>
        <w:ind w:firstLine="415" w:firstLineChars="198"/>
        <w:rPr>
          <w:rFonts w:ascii="宋体" w:hAnsi="宋体"/>
          <w:szCs w:val="21"/>
        </w:rPr>
      </w:pPr>
      <w:r>
        <w:rPr>
          <w:rFonts w:hint="eastAsia" w:ascii="宋体" w:hAnsi="宋体"/>
          <w:szCs w:val="21"/>
        </w:rPr>
        <w:t>（1）毕业总学分不得低于216学分，必修学分192学分，选修学分不低于24学分。</w:t>
      </w:r>
    </w:p>
    <w:p>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（2）项目替代学分。比赛获奖、考证、参加项目开发等根据专业认定可以替换专业非核心岗位课程学分。替换学分不得超过15学分。</w:t>
      </w:r>
    </w:p>
    <w:p>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pPr>
              <w:spacing w:line="360" w:lineRule="auto"/>
              <w:jc w:val="center"/>
              <w:rPr>
                <w:rFonts w:ascii="宋体" w:hAnsi="宋体"/>
                <w:szCs w:val="21"/>
              </w:rPr>
            </w:pPr>
            <w:r>
              <w:rPr>
                <w:rFonts w:hint="eastAsia" w:ascii="宋体" w:hAnsi="宋体"/>
                <w:szCs w:val="21"/>
              </w:rPr>
              <w:t>类别</w:t>
            </w:r>
          </w:p>
        </w:tc>
        <w:tc>
          <w:tcPr>
            <w:tcW w:w="6260" w:type="dxa"/>
          </w:tcPr>
          <w:p>
            <w:pPr>
              <w:spacing w:line="360" w:lineRule="auto"/>
              <w:jc w:val="center"/>
              <w:rPr>
                <w:rFonts w:ascii="宋体" w:hAnsi="宋体"/>
                <w:szCs w:val="21"/>
              </w:rPr>
            </w:pPr>
            <w:r>
              <w:rPr>
                <w:rFonts w:hint="eastAsia" w:ascii="宋体" w:hAnsi="宋体"/>
                <w:szCs w:val="21"/>
              </w:rPr>
              <w:t>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pPr>
              <w:spacing w:line="360" w:lineRule="auto"/>
              <w:rPr>
                <w:rFonts w:ascii="宋体" w:hAnsi="宋体"/>
                <w:szCs w:val="21"/>
              </w:rPr>
            </w:pPr>
            <w:r>
              <w:rPr>
                <w:rFonts w:hint="eastAsia" w:ascii="宋体" w:hAnsi="宋体"/>
                <w:szCs w:val="21"/>
              </w:rPr>
              <w:t>技能竞赛类</w:t>
            </w:r>
          </w:p>
        </w:tc>
        <w:tc>
          <w:tcPr>
            <w:tcW w:w="2158" w:type="dxa"/>
          </w:tcPr>
          <w:p>
            <w:pPr>
              <w:spacing w:line="360" w:lineRule="auto"/>
              <w:rPr>
                <w:rFonts w:ascii="宋体" w:hAnsi="宋体"/>
                <w:szCs w:val="21"/>
              </w:rPr>
            </w:pPr>
            <w:r>
              <w:rPr>
                <w:rFonts w:hint="eastAsia" w:ascii="宋体" w:hAnsi="宋体"/>
                <w:szCs w:val="21"/>
              </w:rPr>
              <w:t>教育行政主管部门组织的竞赛</w:t>
            </w:r>
          </w:p>
        </w:tc>
        <w:tc>
          <w:tcPr>
            <w:tcW w:w="6260" w:type="dxa"/>
          </w:tcPr>
          <w:p>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pPr>
              <w:spacing w:line="360" w:lineRule="auto"/>
              <w:rPr>
                <w:rFonts w:ascii="宋体" w:hAnsi="宋体"/>
                <w:szCs w:val="21"/>
              </w:rPr>
            </w:pPr>
          </w:p>
        </w:tc>
        <w:tc>
          <w:tcPr>
            <w:tcW w:w="2158" w:type="dxa"/>
          </w:tcPr>
          <w:p>
            <w:pPr>
              <w:spacing w:line="360" w:lineRule="auto"/>
              <w:rPr>
                <w:rFonts w:ascii="宋体" w:hAnsi="宋体"/>
                <w:szCs w:val="21"/>
              </w:rPr>
            </w:pPr>
            <w:r>
              <w:rPr>
                <w:rFonts w:hint="eastAsia" w:ascii="宋体" w:hAnsi="宋体"/>
                <w:szCs w:val="21"/>
              </w:rPr>
              <w:t>其他行业协会或社会组织的竞赛</w:t>
            </w:r>
          </w:p>
        </w:tc>
        <w:tc>
          <w:tcPr>
            <w:tcW w:w="6260" w:type="dxa"/>
          </w:tcPr>
          <w:p>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pPr>
              <w:spacing w:line="360" w:lineRule="auto"/>
              <w:rPr>
                <w:rFonts w:ascii="宋体" w:hAnsi="宋体"/>
                <w:szCs w:val="21"/>
              </w:rPr>
            </w:pPr>
          </w:p>
        </w:tc>
        <w:tc>
          <w:tcPr>
            <w:tcW w:w="2158" w:type="dxa"/>
          </w:tcPr>
          <w:p>
            <w:pPr>
              <w:spacing w:line="360" w:lineRule="auto"/>
              <w:rPr>
                <w:rFonts w:ascii="宋体" w:hAnsi="宋体"/>
                <w:szCs w:val="21"/>
              </w:rPr>
            </w:pPr>
            <w:r>
              <w:rPr>
                <w:rFonts w:hint="eastAsia" w:ascii="宋体" w:hAnsi="宋体"/>
                <w:szCs w:val="21"/>
              </w:rPr>
              <w:t>校级竞赛</w:t>
            </w:r>
          </w:p>
        </w:tc>
        <w:tc>
          <w:tcPr>
            <w:tcW w:w="6260" w:type="dxa"/>
          </w:tcPr>
          <w:p>
            <w:pPr>
              <w:spacing w:line="360" w:lineRule="auto"/>
              <w:rPr>
                <w:rFonts w:ascii="宋体" w:hAnsi="宋体"/>
                <w:szCs w:val="21"/>
              </w:rPr>
            </w:pPr>
            <w:r>
              <w:rPr>
                <w:rFonts w:hint="eastAsia" w:ascii="宋体" w:hAnsi="宋体"/>
                <w:szCs w:val="21"/>
              </w:rPr>
              <w:t>校级技能竞赛一等奖以上可替换0.5学分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pPr>
              <w:spacing w:line="360" w:lineRule="auto"/>
              <w:rPr>
                <w:rFonts w:ascii="宋体" w:hAnsi="宋体"/>
                <w:szCs w:val="21"/>
              </w:rPr>
            </w:pPr>
            <w:r>
              <w:rPr>
                <w:rFonts w:hint="eastAsia" w:ascii="宋体" w:hAnsi="宋体"/>
                <w:szCs w:val="21"/>
              </w:rPr>
              <w:t>项目开发类</w:t>
            </w:r>
          </w:p>
        </w:tc>
        <w:tc>
          <w:tcPr>
            <w:tcW w:w="2158" w:type="dxa"/>
          </w:tcPr>
          <w:p>
            <w:pPr>
              <w:spacing w:line="360" w:lineRule="auto"/>
              <w:rPr>
                <w:rFonts w:ascii="宋体" w:hAnsi="宋体"/>
                <w:szCs w:val="21"/>
              </w:rPr>
            </w:pPr>
            <w:r>
              <w:rPr>
                <w:rFonts w:hint="eastAsia" w:ascii="宋体" w:hAnsi="宋体"/>
                <w:szCs w:val="21"/>
              </w:rPr>
              <w:t>自主实施的项目开发</w:t>
            </w:r>
          </w:p>
        </w:tc>
        <w:tc>
          <w:tcPr>
            <w:tcW w:w="6260" w:type="dxa"/>
          </w:tcPr>
          <w:p>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pPr>
              <w:spacing w:line="360" w:lineRule="auto"/>
              <w:rPr>
                <w:rFonts w:ascii="宋体" w:hAnsi="宋体"/>
                <w:szCs w:val="21"/>
              </w:rPr>
            </w:pPr>
          </w:p>
        </w:tc>
        <w:tc>
          <w:tcPr>
            <w:tcW w:w="2158" w:type="dxa"/>
          </w:tcPr>
          <w:p>
            <w:pPr>
              <w:spacing w:line="360" w:lineRule="auto"/>
              <w:rPr>
                <w:rFonts w:ascii="宋体" w:hAnsi="宋体"/>
                <w:szCs w:val="21"/>
              </w:rPr>
            </w:pPr>
            <w:r>
              <w:rPr>
                <w:rFonts w:hint="eastAsia" w:ascii="宋体" w:hAnsi="宋体"/>
                <w:szCs w:val="21"/>
              </w:rPr>
              <w:t>参与老师组织的项目开发</w:t>
            </w:r>
          </w:p>
        </w:tc>
        <w:tc>
          <w:tcPr>
            <w:tcW w:w="6260" w:type="dxa"/>
          </w:tcPr>
          <w:p>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pPr>
              <w:spacing w:line="360" w:lineRule="auto"/>
              <w:rPr>
                <w:rFonts w:ascii="宋体" w:hAnsi="宋体"/>
                <w:szCs w:val="21"/>
              </w:rPr>
            </w:pPr>
            <w:r>
              <w:rPr>
                <w:rFonts w:hint="eastAsia" w:ascii="宋体" w:hAnsi="宋体"/>
                <w:szCs w:val="21"/>
              </w:rPr>
              <w:t>职业资格证书类</w:t>
            </w:r>
          </w:p>
        </w:tc>
        <w:tc>
          <w:tcPr>
            <w:tcW w:w="2158" w:type="dxa"/>
          </w:tcPr>
          <w:p>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pPr>
              <w:spacing w:line="360" w:lineRule="auto"/>
              <w:rPr>
                <w:rFonts w:ascii="宋体" w:hAnsi="宋体"/>
                <w:szCs w:val="21"/>
              </w:rPr>
            </w:pPr>
            <w:r>
              <w:rPr>
                <w:rFonts w:hint="eastAsia" w:ascii="宋体" w:hAnsi="宋体"/>
                <w:szCs w:val="21"/>
              </w:rPr>
              <w:t>取得中级工可替换1学分，高级工可替换2学分，技师级可替换6学分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pPr>
              <w:spacing w:line="360" w:lineRule="auto"/>
              <w:rPr>
                <w:rFonts w:ascii="宋体" w:hAnsi="宋体"/>
                <w:szCs w:val="21"/>
              </w:rPr>
            </w:pPr>
            <w:r>
              <w:rPr>
                <w:rFonts w:hint="eastAsia" w:ascii="宋体" w:hAnsi="宋体"/>
                <w:szCs w:val="21"/>
              </w:rPr>
              <w:t>发明专利</w:t>
            </w:r>
          </w:p>
        </w:tc>
        <w:tc>
          <w:tcPr>
            <w:tcW w:w="2158" w:type="dxa"/>
          </w:tcPr>
          <w:p>
            <w:pPr>
              <w:spacing w:line="360" w:lineRule="auto"/>
              <w:rPr>
                <w:rFonts w:ascii="宋体" w:hAnsi="宋体"/>
                <w:szCs w:val="21"/>
              </w:rPr>
            </w:pPr>
            <w:r>
              <w:rPr>
                <w:rFonts w:ascii="宋体" w:hAnsi="宋体"/>
                <w:szCs w:val="21"/>
              </w:rPr>
              <w:t>发明专利</w:t>
            </w:r>
          </w:p>
        </w:tc>
        <w:tc>
          <w:tcPr>
            <w:tcW w:w="6260" w:type="dxa"/>
          </w:tcPr>
          <w:p>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pPr>
              <w:spacing w:line="360" w:lineRule="auto"/>
              <w:rPr>
                <w:rFonts w:ascii="宋体" w:hAnsi="宋体"/>
                <w:szCs w:val="21"/>
              </w:rPr>
            </w:pPr>
          </w:p>
        </w:tc>
        <w:tc>
          <w:tcPr>
            <w:tcW w:w="2158" w:type="dxa"/>
          </w:tcPr>
          <w:p>
            <w:pPr>
              <w:spacing w:line="360" w:lineRule="auto"/>
              <w:rPr>
                <w:rFonts w:ascii="宋体" w:hAnsi="宋体"/>
                <w:szCs w:val="21"/>
              </w:rPr>
            </w:pPr>
            <w:r>
              <w:rPr>
                <w:rFonts w:ascii="宋体" w:hAnsi="宋体"/>
                <w:szCs w:val="21"/>
              </w:rPr>
              <w:t>实用新型专利</w:t>
            </w:r>
          </w:p>
        </w:tc>
        <w:tc>
          <w:tcPr>
            <w:tcW w:w="6260" w:type="dxa"/>
          </w:tcPr>
          <w:p>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pPr>
              <w:spacing w:line="360" w:lineRule="auto"/>
              <w:rPr>
                <w:rFonts w:ascii="宋体" w:hAnsi="宋体"/>
                <w:szCs w:val="21"/>
              </w:rPr>
            </w:pPr>
          </w:p>
        </w:tc>
        <w:tc>
          <w:tcPr>
            <w:tcW w:w="2158" w:type="dxa"/>
          </w:tcPr>
          <w:p>
            <w:pPr>
              <w:spacing w:line="360" w:lineRule="auto"/>
              <w:rPr>
                <w:rFonts w:ascii="宋体" w:hAnsi="宋体"/>
                <w:szCs w:val="21"/>
              </w:rPr>
            </w:pPr>
            <w:r>
              <w:rPr>
                <w:rFonts w:ascii="宋体" w:hAnsi="宋体"/>
                <w:szCs w:val="21"/>
              </w:rPr>
              <w:t>外观设计专利</w:t>
            </w:r>
          </w:p>
        </w:tc>
        <w:tc>
          <w:tcPr>
            <w:tcW w:w="6260" w:type="dxa"/>
          </w:tcPr>
          <w:p>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pPr>
        <w:adjustRightInd w:val="0"/>
        <w:snapToGrid w:val="0"/>
        <w:spacing w:line="360" w:lineRule="auto"/>
        <w:ind w:firstLine="525" w:firstLineChars="250"/>
        <w:rPr>
          <w:rFonts w:ascii="宋体" w:hAnsi="宋体"/>
          <w:szCs w:val="21"/>
        </w:rPr>
      </w:pPr>
    </w:p>
    <w:p>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pPr>
        <w:adjustRightInd w:val="0"/>
        <w:snapToGrid w:val="0"/>
        <w:spacing w:line="360" w:lineRule="auto"/>
        <w:ind w:firstLine="525" w:firstLineChars="250"/>
        <w:rPr>
          <w:rFonts w:ascii="宋体" w:hAnsi="宋体"/>
          <w:szCs w:val="21"/>
        </w:rPr>
      </w:pPr>
      <w:r>
        <w:rPr>
          <w:rFonts w:hint="eastAsia" w:ascii="宋体" w:hAnsi="宋体"/>
          <w:szCs w:val="21"/>
        </w:rPr>
        <w:t xml:space="preserve">(1)普通话等级考试证书（二级乙等及以上）☆ </w:t>
      </w:r>
    </w:p>
    <w:p>
      <w:pPr>
        <w:adjustRightInd w:val="0"/>
        <w:snapToGrid w:val="0"/>
        <w:spacing w:line="360" w:lineRule="auto"/>
        <w:ind w:firstLine="525" w:firstLineChars="250"/>
        <w:rPr>
          <w:rFonts w:ascii="宋体" w:hAnsi="宋体"/>
          <w:szCs w:val="21"/>
        </w:rPr>
      </w:pPr>
      <w:r>
        <w:rPr>
          <w:rFonts w:hint="eastAsia" w:ascii="宋体" w:hAnsi="宋体"/>
          <w:szCs w:val="21"/>
        </w:rPr>
        <w:t xml:space="preserve">(2) 幼儿园教师资格证书*  </w:t>
      </w:r>
    </w:p>
    <w:p>
      <w:pPr>
        <w:adjustRightInd w:val="0"/>
        <w:snapToGrid w:val="0"/>
        <w:spacing w:line="360" w:lineRule="auto"/>
        <w:ind w:firstLine="420" w:firstLineChars="200"/>
        <w:rPr>
          <w:rFonts w:ascii="宋体" w:hAnsi="宋体"/>
          <w:szCs w:val="21"/>
        </w:rPr>
      </w:pPr>
      <w:r>
        <w:rPr>
          <w:rFonts w:hint="eastAsia" w:ascii="宋体" w:hAnsi="宋体"/>
          <w:szCs w:val="21"/>
        </w:rPr>
        <w:t>（3）1+X幼儿照护（初级）职业技能等级证书☆</w:t>
      </w:r>
    </w:p>
    <w:p>
      <w:pPr>
        <w:adjustRightInd w:val="0"/>
        <w:snapToGrid w:val="0"/>
        <w:spacing w:line="360" w:lineRule="auto"/>
        <w:ind w:firstLine="525" w:firstLineChars="250"/>
        <w:rPr>
          <w:rFonts w:ascii="宋体" w:hAnsi="宋体"/>
          <w:szCs w:val="21"/>
        </w:rPr>
      </w:pPr>
      <w:r>
        <w:rPr>
          <w:rFonts w:hint="eastAsia" w:ascii="宋体" w:hAnsi="宋体"/>
          <w:szCs w:val="21"/>
        </w:rPr>
        <w:t xml:space="preserve">(4) 全国计算机等级考试证书（一级以上）☆ </w:t>
      </w:r>
    </w:p>
    <w:p>
      <w:pPr>
        <w:adjustRightInd w:val="0"/>
        <w:snapToGrid w:val="0"/>
        <w:spacing w:line="360" w:lineRule="auto"/>
        <w:ind w:firstLine="525" w:firstLineChars="250"/>
        <w:rPr>
          <w:rFonts w:ascii="宋体" w:hAnsi="宋体"/>
          <w:szCs w:val="21"/>
        </w:rPr>
      </w:pPr>
      <w:r>
        <w:rPr>
          <w:rFonts w:hint="eastAsia" w:ascii="宋体" w:hAnsi="宋体"/>
          <w:szCs w:val="21"/>
        </w:rPr>
        <w:t>(5) 英语等级考试证书（鼓励报考）☆</w:t>
      </w:r>
    </w:p>
    <w:p>
      <w:pPr>
        <w:adjustRightInd w:val="0"/>
        <w:snapToGrid w:val="0"/>
        <w:spacing w:line="360" w:lineRule="auto"/>
        <w:ind w:firstLine="525" w:firstLineChars="250"/>
        <w:rPr>
          <w:rFonts w:ascii="宋体" w:hAnsi="宋体"/>
          <w:szCs w:val="21"/>
        </w:rPr>
      </w:pPr>
      <w:r>
        <w:rPr>
          <w:rFonts w:hint="eastAsia" w:ascii="宋体" w:hAnsi="宋体"/>
          <w:szCs w:val="21"/>
        </w:rPr>
        <w:t>注：*表示职业资格证书；</w:t>
      </w:r>
      <w:bookmarkStart w:id="0" w:name="_Hlk117951150"/>
      <w:r>
        <w:rPr>
          <w:rFonts w:hint="eastAsia" w:ascii="宋体" w:hAnsi="宋体"/>
          <w:szCs w:val="21"/>
        </w:rPr>
        <w:t>☆</w:t>
      </w:r>
      <w:bookmarkEnd w:id="0"/>
      <w:r>
        <w:rPr>
          <w:rFonts w:hint="eastAsia" w:ascii="宋体" w:hAnsi="宋体"/>
          <w:szCs w:val="21"/>
        </w:rPr>
        <w:t>表示职业技能等级证书</w:t>
      </w:r>
    </w:p>
    <w:p>
      <w:pPr>
        <w:spacing w:line="360" w:lineRule="auto"/>
        <w:ind w:firstLine="417" w:firstLineChars="198"/>
        <w:rPr>
          <w:rFonts w:ascii="宋体" w:hAnsi="宋体"/>
          <w:b/>
          <w:bCs/>
          <w:szCs w:val="21"/>
        </w:rPr>
      </w:pPr>
      <w:r>
        <w:rPr>
          <w:rFonts w:hint="eastAsia" w:ascii="宋体" w:hAnsi="宋体"/>
          <w:b/>
          <w:bCs/>
          <w:szCs w:val="21"/>
        </w:rPr>
        <w:t>八、课程设置及学时安排</w:t>
      </w:r>
    </w:p>
    <w:p>
      <w:pPr>
        <w:spacing w:line="360" w:lineRule="exact"/>
        <w:ind w:firstLine="420"/>
        <w:outlineLvl w:val="0"/>
        <w:rPr>
          <w:rFonts w:ascii="宋体" w:hAnsi="宋体" w:cs="宋体"/>
          <w:b/>
        </w:rPr>
      </w:pPr>
      <w:r>
        <w:rPr>
          <w:rFonts w:hint="eastAsia" w:ascii="宋体" w:hAnsi="宋体" w:cs="宋体"/>
          <w:b/>
        </w:rPr>
        <w:t>（一）课程设置</w:t>
      </w:r>
    </w:p>
    <w:p>
      <w:pPr>
        <w:spacing w:line="400" w:lineRule="exact"/>
        <w:ind w:firstLine="420" w:firstLineChars="200"/>
        <w:rPr>
          <w:rFonts w:ascii="宋体" w:hAnsi="宋体"/>
          <w:bCs/>
          <w:szCs w:val="21"/>
        </w:rPr>
      </w:pPr>
      <w:r>
        <w:rPr>
          <w:rFonts w:hint="eastAsia" w:ascii="宋体" w:hAnsi="宋体"/>
          <w:bCs/>
          <w:szCs w:val="21"/>
        </w:rPr>
        <w:t>主要包括公共基础课程和专业课程。</w:t>
      </w:r>
    </w:p>
    <w:p>
      <w:pPr>
        <w:spacing w:line="400" w:lineRule="exact"/>
        <w:ind w:firstLine="420" w:firstLineChars="200"/>
        <w:rPr>
          <w:rFonts w:ascii="宋体" w:hAnsi="宋体"/>
          <w:bCs/>
          <w:szCs w:val="21"/>
        </w:rPr>
      </w:pPr>
      <w:r>
        <w:rPr>
          <w:rFonts w:hint="eastAsia" w:ascii="宋体" w:hAnsi="宋体"/>
          <w:bCs/>
          <w:szCs w:val="21"/>
        </w:rPr>
        <w:t>1.公共基础课程一般包括思想政治理论课、军事课、大学英语、体育、心理健康、就业指导、创新创业、职业素质等方面的课程或专题讲座（活动）。</w:t>
      </w:r>
    </w:p>
    <w:p>
      <w:pPr>
        <w:spacing w:line="400" w:lineRule="exact"/>
        <w:ind w:firstLine="420" w:firstLineChars="200"/>
        <w:rPr>
          <w:rFonts w:ascii="宋体" w:hAnsi="宋体"/>
          <w:bCs/>
          <w:szCs w:val="21"/>
        </w:rPr>
      </w:pPr>
      <w:r>
        <w:rPr>
          <w:rFonts w:hint="eastAsia" w:ascii="宋体" w:hAnsi="宋体"/>
          <w:bCs/>
          <w:szCs w:val="21"/>
        </w:rPr>
        <w:t>2.专业课一般包括专业基础课程、专业核心课程、专业拓展课程，并涵盖有关实践性教学环节。</w:t>
      </w:r>
    </w:p>
    <w:p>
      <w:pPr>
        <w:spacing w:line="400" w:lineRule="exact"/>
        <w:ind w:firstLine="420" w:firstLineChars="200"/>
        <w:rPr>
          <w:rFonts w:ascii="宋体" w:hAnsi="宋体"/>
          <w:bCs/>
          <w:szCs w:val="21"/>
        </w:rPr>
      </w:pPr>
      <w:r>
        <w:rPr>
          <w:rFonts w:hint="eastAsia" w:ascii="宋体" w:hAnsi="宋体"/>
          <w:bCs/>
          <w:szCs w:val="21"/>
        </w:rPr>
        <w:t>（1）专业基础课程：学前儿童卫生与保健、学前儿童心理发展、学前教育概论、教师口语、数字化教育技术应用、幼儿园教师艺术技能、教师职业道德与教育政策法规。</w:t>
      </w:r>
    </w:p>
    <w:p>
      <w:pPr>
        <w:spacing w:line="400" w:lineRule="exact"/>
        <w:ind w:firstLine="420" w:firstLineChars="200"/>
        <w:rPr>
          <w:rFonts w:ascii="宋体" w:hAnsi="宋体"/>
          <w:bCs/>
          <w:szCs w:val="21"/>
        </w:rPr>
      </w:pPr>
      <w:r>
        <w:rPr>
          <w:rFonts w:hint="eastAsia" w:ascii="宋体" w:hAnsi="宋体"/>
          <w:bCs/>
          <w:szCs w:val="21"/>
        </w:rPr>
        <w:t>（2）专业核心课程：幼儿游戏与指导、幼儿园课程概论、幼儿园教育活动设计与实施、幼儿园环境创设与利用、学前儿童行为观察、幼儿园班级管理。</w:t>
      </w:r>
    </w:p>
    <w:p>
      <w:pPr>
        <w:spacing w:line="400" w:lineRule="exact"/>
        <w:ind w:firstLine="420" w:firstLineChars="200"/>
        <w:rPr>
          <w:rFonts w:ascii="宋体" w:hAnsi="宋体"/>
          <w:bCs/>
          <w:szCs w:val="21"/>
        </w:rPr>
      </w:pPr>
      <w:r>
        <w:rPr>
          <w:rFonts w:hint="eastAsia" w:ascii="宋体" w:hAnsi="宋体"/>
          <w:bCs/>
          <w:szCs w:val="21"/>
        </w:rPr>
        <w:t>（3）专业拓展课程：对接真实职业场景或工作情境，在校内外进行教师教育基本技能、学前儿童保育、幼儿游戏与指导、五大领域教育与活动指导、幼儿园教育环境创设、学前儿</w:t>
      </w:r>
    </w:p>
    <w:p>
      <w:pPr>
        <w:spacing w:line="400" w:lineRule="exact"/>
        <w:ind w:left="630" w:hanging="630" w:hangingChars="300"/>
        <w:rPr>
          <w:rFonts w:ascii="宋体" w:hAnsi="宋体"/>
          <w:bCs/>
          <w:szCs w:val="21"/>
        </w:rPr>
      </w:pPr>
      <w:r>
        <w:rPr>
          <w:rFonts w:hint="eastAsia" w:ascii="宋体" w:hAnsi="宋体"/>
          <w:bCs/>
          <w:szCs w:val="21"/>
        </w:rPr>
        <w:t>童行为观察与分析等实训。在幼儿园等单位进行保育和教育岗位实习。</w:t>
      </w:r>
    </w:p>
    <w:p>
      <w:pPr>
        <w:spacing w:line="400" w:lineRule="exact"/>
        <w:ind w:left="630" w:leftChars="200" w:hanging="210" w:hangingChars="100"/>
        <w:rPr>
          <w:rFonts w:ascii="宋体" w:hAnsi="宋体"/>
          <w:bCs/>
          <w:szCs w:val="21"/>
        </w:rPr>
      </w:pPr>
      <w:r>
        <w:rPr>
          <w:rFonts w:hint="eastAsia" w:ascii="宋体" w:hAnsi="宋体"/>
          <w:bCs/>
          <w:szCs w:val="21"/>
        </w:rPr>
        <w:t>3.专业核心课程名称及主要教学内容</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9" w:type="dxa"/>
          </w:tcPr>
          <w:p>
            <w:pPr>
              <w:spacing w:line="400" w:lineRule="exact"/>
              <w:jc w:val="center"/>
              <w:rPr>
                <w:rFonts w:ascii="宋体" w:hAnsi="宋体"/>
                <w:bCs/>
                <w:szCs w:val="21"/>
              </w:rPr>
            </w:pPr>
            <w:r>
              <w:rPr>
                <w:rFonts w:hint="eastAsia" w:ascii="宋体" w:hAnsi="宋体"/>
                <w:bCs/>
                <w:szCs w:val="21"/>
              </w:rPr>
              <w:t>序号</w:t>
            </w:r>
          </w:p>
        </w:tc>
        <w:tc>
          <w:tcPr>
            <w:tcW w:w="2127" w:type="dxa"/>
          </w:tcPr>
          <w:p>
            <w:pPr>
              <w:spacing w:line="400" w:lineRule="exact"/>
              <w:jc w:val="center"/>
              <w:rPr>
                <w:rFonts w:ascii="宋体" w:hAnsi="宋体"/>
                <w:bCs/>
                <w:szCs w:val="21"/>
              </w:rPr>
            </w:pPr>
            <w:r>
              <w:rPr>
                <w:rFonts w:hint="eastAsia" w:ascii="宋体" w:hAnsi="宋体"/>
                <w:bCs/>
                <w:szCs w:val="21"/>
              </w:rPr>
              <w:t>专业核心课名称</w:t>
            </w:r>
          </w:p>
        </w:tc>
        <w:tc>
          <w:tcPr>
            <w:tcW w:w="6538" w:type="dxa"/>
          </w:tcPr>
          <w:p>
            <w:pPr>
              <w:spacing w:line="400" w:lineRule="exact"/>
              <w:jc w:val="center"/>
              <w:rPr>
                <w:rFonts w:ascii="宋体" w:hAnsi="宋体"/>
                <w:bCs/>
                <w:szCs w:val="21"/>
              </w:rPr>
            </w:pPr>
            <w:r>
              <w:rPr>
                <w:rFonts w:hint="eastAsia" w:ascii="宋体" w:hAnsi="宋体"/>
                <w:bCs/>
                <w:szCs w:val="21"/>
              </w:rPr>
              <w:t>主要教学内容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pPr>
              <w:spacing w:line="40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1</w:t>
            </w:r>
          </w:p>
        </w:tc>
        <w:tc>
          <w:tcPr>
            <w:tcW w:w="2127" w:type="dxa"/>
            <w:vAlign w:val="center"/>
          </w:tcPr>
          <w:p>
            <w:pPr>
              <w:spacing w:line="40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幼儿园游戏活动指导</w:t>
            </w:r>
          </w:p>
        </w:tc>
        <w:tc>
          <w:tcPr>
            <w:tcW w:w="6538" w:type="dxa"/>
          </w:tcPr>
          <w:p>
            <w:pPr>
              <w:snapToGrid w:val="0"/>
              <w:spacing w:line="520" w:lineRule="exact"/>
              <w:rPr>
                <w:rFonts w:asciiTheme="minorEastAsia" w:hAnsiTheme="minorEastAsia" w:eastAsiaTheme="minorEastAsia"/>
                <w:bCs/>
                <w:szCs w:val="21"/>
              </w:rPr>
            </w:pPr>
            <w:r>
              <w:rPr>
                <w:rFonts w:hint="eastAsia" w:asciiTheme="minorEastAsia" w:hAnsiTheme="minorEastAsia" w:eastAsiaTheme="minorEastAsia"/>
                <w:bCs/>
                <w:szCs w:val="21"/>
              </w:rPr>
              <w:t>幼儿游戏的本质与发展历史、游戏的类型与组织、幼儿游戏价值、幼儿游戏心理特点、幼儿游戏设计与指导。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pPr>
              <w:spacing w:line="40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2</w:t>
            </w:r>
          </w:p>
        </w:tc>
        <w:tc>
          <w:tcPr>
            <w:tcW w:w="2127" w:type="dxa"/>
            <w:vAlign w:val="center"/>
          </w:tcPr>
          <w:p>
            <w:pPr>
              <w:spacing w:line="40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幼儿行为观察与研究</w:t>
            </w:r>
          </w:p>
        </w:tc>
        <w:tc>
          <w:tcPr>
            <w:tcW w:w="6538" w:type="dxa"/>
          </w:tcPr>
          <w:p>
            <w:pPr>
              <w:spacing w:line="360" w:lineRule="exact"/>
              <w:rPr>
                <w:rFonts w:asciiTheme="minorEastAsia" w:hAnsiTheme="minorEastAsia" w:eastAsiaTheme="minorEastAsia"/>
                <w:bCs/>
                <w:szCs w:val="21"/>
              </w:rPr>
            </w:pPr>
            <w:r>
              <w:rPr>
                <w:rFonts w:hint="eastAsia" w:asciiTheme="minorEastAsia" w:hAnsiTheme="minorEastAsia" w:eastAsiaTheme="minorEastAsia"/>
                <w:bCs/>
                <w:szCs w:val="21"/>
              </w:rPr>
              <w:t>幼儿行为观察记录的类型与方法、 幼儿行为的分析与评价、引导幼儿发展的教师支持策略。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pPr>
              <w:spacing w:line="400" w:lineRule="exact"/>
              <w:jc w:val="center"/>
              <w:rPr>
                <w:rFonts w:ascii="宋体" w:hAnsi="宋体"/>
                <w:bCs/>
                <w:szCs w:val="21"/>
              </w:rPr>
            </w:pPr>
            <w:r>
              <w:rPr>
                <w:rFonts w:hint="eastAsia" w:ascii="宋体" w:hAnsi="宋体"/>
                <w:bCs/>
                <w:szCs w:val="21"/>
              </w:rPr>
              <w:t>幼儿园教育活动设计与指导</w:t>
            </w:r>
          </w:p>
        </w:tc>
        <w:tc>
          <w:tcPr>
            <w:tcW w:w="6538" w:type="dxa"/>
          </w:tcPr>
          <w:p>
            <w:pPr>
              <w:spacing w:line="360" w:lineRule="exact"/>
              <w:rPr>
                <w:rFonts w:ascii="宋体" w:hAnsi="宋体"/>
                <w:bCs/>
                <w:szCs w:val="21"/>
              </w:rPr>
            </w:pPr>
            <w:r>
              <w:rPr>
                <w:rFonts w:hint="eastAsia" w:ascii="宋体" w:hAnsi="宋体"/>
                <w:bCs/>
                <w:szCs w:val="21"/>
              </w:rPr>
              <w:t>本课程把幼儿园健康教育、语言教育、科学教育、社会教育、艺术教育五大领域（或七个方面）的内容合为一本，且针对幼儿园一线教师所需的基本知识和技能，突出实用性和操作性特色，尤其便于学生的自主学习与实践操作能力的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pPr>
              <w:spacing w:line="400" w:lineRule="exact"/>
              <w:jc w:val="center"/>
              <w:rPr>
                <w:rFonts w:ascii="宋体" w:hAnsi="宋体"/>
                <w:bCs/>
                <w:szCs w:val="21"/>
              </w:rPr>
            </w:pPr>
            <w:r>
              <w:rPr>
                <w:rFonts w:hint="eastAsia" w:ascii="宋体" w:hAnsi="宋体"/>
                <w:bCs/>
                <w:szCs w:val="21"/>
              </w:rPr>
              <w:t>幼儿园班级管理</w:t>
            </w:r>
          </w:p>
        </w:tc>
        <w:tc>
          <w:tcPr>
            <w:tcW w:w="6538" w:type="dxa"/>
          </w:tcPr>
          <w:p>
            <w:pPr>
              <w:spacing w:line="360" w:lineRule="exact"/>
              <w:rPr>
                <w:rFonts w:ascii="宋体" w:hAnsi="宋体"/>
                <w:bCs/>
                <w:szCs w:val="21"/>
              </w:rPr>
            </w:pPr>
            <w:r>
              <w:rPr>
                <w:rFonts w:hint="eastAsia" w:ascii="宋体" w:hAnsi="宋体"/>
                <w:bCs/>
                <w:szCs w:val="21"/>
              </w:rPr>
              <w:t>本课程主要讲授了幼儿园班级管理的基本结构、特征、功能、影响因素、幼儿园班级管理环节以及幼儿园班级体系。</w:t>
            </w:r>
          </w:p>
          <w:p>
            <w:pPr>
              <w:spacing w:line="360" w:lineRule="exact"/>
              <w:rPr>
                <w:rFonts w:ascii="宋体" w:hAnsi="宋体"/>
                <w:bCs/>
                <w:szCs w:val="21"/>
              </w:rPr>
            </w:pPr>
            <w:r>
              <w:rPr>
                <w:rFonts w:hint="eastAsia" w:ascii="宋体" w:hAnsi="宋体"/>
                <w:bCs/>
                <w:szCs w:val="21"/>
              </w:rPr>
              <w:t>要求：初步了解幼儿园班级管理的相关理论知识，掌握班级管理的技巧，提高幼儿园班级管理能力。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pPr>
              <w:spacing w:line="400" w:lineRule="exact"/>
              <w:jc w:val="center"/>
              <w:rPr>
                <w:rFonts w:ascii="宋体" w:hAnsi="宋体"/>
                <w:bCs/>
                <w:szCs w:val="21"/>
              </w:rPr>
            </w:pPr>
            <w:r>
              <w:rPr>
                <w:rFonts w:hint="eastAsia" w:ascii="宋体" w:hAnsi="宋体"/>
                <w:bCs/>
                <w:szCs w:val="21"/>
              </w:rPr>
              <w:t>幼儿园课程概论</w:t>
            </w:r>
          </w:p>
        </w:tc>
        <w:tc>
          <w:tcPr>
            <w:tcW w:w="6538" w:type="dxa"/>
          </w:tcPr>
          <w:p>
            <w:pPr>
              <w:spacing w:line="360" w:lineRule="exact"/>
              <w:rPr>
                <w:rFonts w:ascii="宋体" w:hAnsi="宋体"/>
                <w:bCs/>
                <w:szCs w:val="21"/>
              </w:rPr>
            </w:pPr>
            <w:r>
              <w:rPr>
                <w:rFonts w:hint="eastAsia" w:ascii="宋体" w:hAnsi="宋体"/>
                <w:bCs/>
                <w:szCs w:val="21"/>
              </w:rPr>
              <w:t>掌握幼儿园课程的基本概念，重点掌握幼儿园课程设计的基本原理，领悟幼儿园教育活动设计和实施的规律和方法，从而具备幼儿园教育活动设计的基本能力。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pPr>
              <w:spacing w:line="400" w:lineRule="exact"/>
              <w:jc w:val="center"/>
              <w:rPr>
                <w:rFonts w:ascii="宋体" w:hAnsi="宋体"/>
                <w:bCs/>
                <w:szCs w:val="21"/>
              </w:rPr>
            </w:pPr>
            <w:r>
              <w:rPr>
                <w:rFonts w:hint="eastAsia" w:ascii="宋体" w:hAnsi="宋体"/>
                <w:bCs/>
                <w:szCs w:val="21"/>
              </w:rPr>
              <w:t>幼儿园环境创设</w:t>
            </w:r>
          </w:p>
        </w:tc>
        <w:tc>
          <w:tcPr>
            <w:tcW w:w="6538" w:type="dxa"/>
          </w:tcPr>
          <w:p>
            <w:pPr>
              <w:spacing w:line="360" w:lineRule="exact"/>
              <w:rPr>
                <w:rFonts w:ascii="宋体" w:hAnsi="宋体"/>
                <w:bCs/>
                <w:szCs w:val="21"/>
              </w:rPr>
            </w:pPr>
            <w:r>
              <w:rPr>
                <w:rFonts w:hint="eastAsia" w:ascii="宋体" w:hAnsi="宋体"/>
                <w:bCs/>
                <w:szCs w:val="21"/>
              </w:rPr>
              <w:t>环境创设主要包括幼儿园内部小环境，又包括园外的家庭、社会、自然、文化等大环境，狭义的幼儿园环境是指在幼儿园中，对幼儿身心发展产生影响的物质与精神的要素的总和。因此，幼儿园环境按性质可分为物质环境和精神环境两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pPr>
              <w:spacing w:line="400" w:lineRule="exact"/>
              <w:jc w:val="center"/>
              <w:rPr>
                <w:rFonts w:ascii="宋体" w:hAnsi="宋体"/>
                <w:bCs/>
                <w:sz w:val="18"/>
                <w:szCs w:val="18"/>
              </w:rPr>
            </w:pPr>
            <w:r>
              <w:rPr>
                <w:rFonts w:hint="eastAsia" w:ascii="宋体" w:hAnsi="宋体"/>
                <w:bCs/>
                <w:sz w:val="18"/>
                <w:szCs w:val="18"/>
              </w:rPr>
              <w:t>7</w:t>
            </w:r>
          </w:p>
        </w:tc>
        <w:tc>
          <w:tcPr>
            <w:tcW w:w="2127" w:type="dxa"/>
            <w:vAlign w:val="center"/>
          </w:tcPr>
          <w:p>
            <w:pPr>
              <w:jc w:val="center"/>
              <w:rPr>
                <w:rFonts w:ascii="宋体" w:hAnsi="宋体"/>
                <w:bCs/>
                <w:szCs w:val="21"/>
              </w:rPr>
            </w:pPr>
            <w:r>
              <w:rPr>
                <w:rFonts w:hint="eastAsia" w:ascii="宋体" w:hAnsi="宋体"/>
                <w:bCs/>
                <w:szCs w:val="21"/>
              </w:rPr>
              <w:t>歌曲弹唱</w:t>
            </w:r>
          </w:p>
        </w:tc>
        <w:tc>
          <w:tcPr>
            <w:tcW w:w="6538" w:type="dxa"/>
          </w:tcPr>
          <w:p>
            <w:pPr>
              <w:spacing w:line="360" w:lineRule="exact"/>
              <w:rPr>
                <w:rFonts w:ascii="宋体" w:hAnsi="宋体"/>
                <w:szCs w:val="21"/>
              </w:rPr>
            </w:pPr>
            <w:r>
              <w:rPr>
                <w:rFonts w:hint="eastAsia" w:ascii="宋体" w:hAnsi="宋体"/>
                <w:szCs w:val="21"/>
              </w:rPr>
              <w:t>幼儿弹唱基本功训练、幼儿歌曲即兴伴奏知识，声乐与幼儿歌曲演唱知识，和声连接与和旋编配知识。</w:t>
            </w:r>
          </w:p>
        </w:tc>
      </w:tr>
    </w:tbl>
    <w:p>
      <w:pPr>
        <w:spacing w:line="400" w:lineRule="exact"/>
        <w:rPr>
          <w:rFonts w:ascii="宋体" w:hAnsi="宋体"/>
          <w:b/>
        </w:rPr>
      </w:pPr>
    </w:p>
    <w:p>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pPr>
        <w:spacing w:line="360" w:lineRule="exact"/>
        <w:ind w:firstLine="420"/>
        <w:outlineLvl w:val="0"/>
        <w:rPr>
          <w:rFonts w:ascii="宋体" w:hAnsi="宋体"/>
          <w:bCs/>
        </w:rPr>
      </w:pPr>
    </w:p>
    <w:p>
      <w:pPr>
        <w:spacing w:line="360" w:lineRule="auto"/>
        <w:ind w:firstLine="417" w:firstLineChars="198"/>
        <w:rPr>
          <w:rFonts w:ascii="宋体" w:hAnsi="宋体"/>
          <w:b/>
          <w:szCs w:val="21"/>
        </w:rPr>
      </w:pPr>
      <w:r>
        <w:rPr>
          <w:rFonts w:hint="eastAsia" w:ascii="宋体" w:hAnsi="宋体"/>
          <w:b/>
          <w:szCs w:val="21"/>
        </w:rPr>
        <w:t xml:space="preserve"> (二) 学时安排</w:t>
      </w:r>
    </w:p>
    <w:p>
      <w:pPr>
        <w:spacing w:line="400" w:lineRule="exact"/>
        <w:ind w:firstLine="420"/>
        <w:rPr>
          <w:rFonts w:hint="eastAsia" w:ascii="宋体" w:hAnsi="宋体"/>
          <w:bCs/>
        </w:rPr>
      </w:pPr>
      <w:r>
        <w:rPr>
          <w:rFonts w:hint="eastAsia" w:ascii="宋体" w:hAnsi="宋体"/>
          <w:bCs/>
        </w:rPr>
        <w:t>本专业总学时为</w:t>
      </w:r>
      <w:r>
        <w:rPr>
          <w:rFonts w:hint="eastAsia" w:ascii="宋体" w:hAnsi="宋体"/>
          <w:bCs/>
          <w:lang w:val="en-US" w:eastAsia="zh-CN"/>
        </w:rPr>
        <w:t>4331</w:t>
      </w:r>
      <w:r>
        <w:rPr>
          <w:rFonts w:hint="eastAsia" w:ascii="宋体" w:hAnsi="宋体"/>
          <w:bCs/>
        </w:rPr>
        <w:t>学时，其中实践性教学学时为</w:t>
      </w:r>
      <w:r>
        <w:rPr>
          <w:rFonts w:hint="eastAsia" w:ascii="宋体" w:hAnsi="宋体"/>
          <w:bCs/>
          <w:lang w:val="en-US" w:eastAsia="zh-CN"/>
        </w:rPr>
        <w:t>2424</w:t>
      </w:r>
      <w:r>
        <w:rPr>
          <w:rFonts w:hint="eastAsia" w:ascii="宋体" w:hAnsi="宋体"/>
          <w:bCs/>
        </w:rPr>
        <w:t>学时，占总学时的</w:t>
      </w:r>
      <w:r>
        <w:rPr>
          <w:rFonts w:ascii="宋体" w:hAnsi="宋体"/>
          <w:bCs/>
        </w:rPr>
        <w:t>5</w:t>
      </w:r>
      <w:r>
        <w:rPr>
          <w:rFonts w:hint="eastAsia" w:ascii="宋体" w:hAnsi="宋体"/>
          <w:bCs/>
          <w:lang w:val="en-US" w:eastAsia="zh-CN"/>
        </w:rPr>
        <w:t>5</w:t>
      </w:r>
      <w:r>
        <w:rPr>
          <w:rFonts w:ascii="宋体" w:hAnsi="宋体"/>
          <w:bCs/>
        </w:rPr>
        <w:t>.</w:t>
      </w:r>
      <w:r>
        <w:rPr>
          <w:rFonts w:hint="eastAsia" w:ascii="宋体" w:hAnsi="宋体"/>
          <w:bCs/>
          <w:lang w:val="en-US" w:eastAsia="zh-CN"/>
        </w:rPr>
        <w:t>97</w:t>
      </w:r>
      <w:r>
        <w:rPr>
          <w:rFonts w:hint="eastAsia" w:ascii="宋体" w:hAnsi="宋体"/>
          <w:bCs/>
        </w:rPr>
        <w:t>% 。其中，顶岗实习为4个月，约252学时。</w:t>
      </w:r>
    </w:p>
    <w:p>
      <w:pPr>
        <w:adjustRightInd w:val="0"/>
        <w:snapToGrid w:val="0"/>
        <w:spacing w:line="360" w:lineRule="auto"/>
        <w:rPr>
          <w:rFonts w:ascii="宋体" w:hAnsi="宋体"/>
          <w:b/>
          <w:bCs/>
          <w:szCs w:val="21"/>
        </w:rPr>
      </w:pPr>
      <w:r>
        <w:drawing>
          <wp:inline distT="0" distB="0" distL="114300" distR="114300">
            <wp:extent cx="6010910" cy="3392170"/>
            <wp:effectExtent l="0" t="0" r="8890"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6010910" cy="3392170"/>
                    </a:xfrm>
                    <a:prstGeom prst="rect">
                      <a:avLst/>
                    </a:prstGeom>
                    <a:noFill/>
                    <a:ln>
                      <a:noFill/>
                    </a:ln>
                  </pic:spPr>
                </pic:pic>
              </a:graphicData>
            </a:graphic>
          </wp:inline>
        </w:drawing>
      </w:r>
    </w:p>
    <w:p>
      <w:pPr>
        <w:adjustRightInd w:val="0"/>
        <w:snapToGrid w:val="0"/>
        <w:spacing w:line="360" w:lineRule="auto"/>
        <w:rPr>
          <w:rFonts w:ascii="宋体" w:hAnsi="宋体"/>
          <w:b/>
          <w:bCs/>
          <w:szCs w:val="21"/>
        </w:rPr>
      </w:pPr>
    </w:p>
    <w:p>
      <w:pPr>
        <w:adjustRightInd w:val="0"/>
        <w:snapToGrid w:val="0"/>
        <w:spacing w:line="360" w:lineRule="auto"/>
        <w:ind w:firstLine="527" w:firstLineChars="250"/>
        <w:rPr>
          <w:rFonts w:ascii="宋体" w:hAnsi="宋体"/>
          <w:b/>
          <w:bCs/>
          <w:szCs w:val="21"/>
        </w:rPr>
      </w:pPr>
      <w:r>
        <w:rPr>
          <w:rFonts w:hint="eastAsia" w:ascii="宋体" w:hAnsi="宋体"/>
          <w:b/>
          <w:bCs/>
          <w:szCs w:val="21"/>
        </w:rPr>
        <w:t>九、教学基本条件</w:t>
      </w:r>
    </w:p>
    <w:p>
      <w:pPr>
        <w:spacing w:line="360" w:lineRule="auto"/>
        <w:ind w:firstLine="422" w:firstLineChars="200"/>
        <w:outlineLvl w:val="0"/>
        <w:rPr>
          <w:rStyle w:val="7"/>
          <w:rFonts w:ascii="宋体" w:hAnsi="宋体"/>
          <w:szCs w:val="21"/>
        </w:rPr>
      </w:pPr>
      <w:r>
        <w:rPr>
          <w:rStyle w:val="7"/>
          <w:rFonts w:hint="eastAsia" w:ascii="宋体" w:hAnsi="宋体"/>
          <w:szCs w:val="21"/>
        </w:rPr>
        <w:t>（一）教师队伍</w:t>
      </w:r>
    </w:p>
    <w:p>
      <w:pPr>
        <w:spacing w:line="400" w:lineRule="exact"/>
        <w:ind w:firstLine="420"/>
        <w:rPr>
          <w:rFonts w:ascii="宋体" w:hAnsi="宋体"/>
          <w:szCs w:val="21"/>
        </w:rPr>
      </w:pPr>
      <w:r>
        <w:rPr>
          <w:rFonts w:hint="eastAsia" w:ascii="宋体" w:hAnsi="宋体"/>
          <w:szCs w:val="21"/>
        </w:rPr>
        <w:t>1.专任教师</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31"/>
        <w:gridCol w:w="545"/>
        <w:gridCol w:w="992"/>
        <w:gridCol w:w="1282"/>
        <w:gridCol w:w="1091"/>
        <w:gridCol w:w="144"/>
        <w:gridCol w:w="1032"/>
        <w:gridCol w:w="672"/>
        <w:gridCol w:w="419"/>
        <w:gridCol w:w="1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序号</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学历学位</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是否双师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09" w:type="dxa"/>
            <w:tcBorders>
              <w:top w:val="single" w:color="auto" w:sz="4" w:space="0"/>
              <w:left w:val="single" w:color="auto" w:sz="4" w:space="0"/>
              <w:bottom w:val="single" w:color="auto" w:sz="4" w:space="0"/>
              <w:right w:val="single" w:color="auto" w:sz="4" w:space="0"/>
            </w:tcBorders>
          </w:tcPr>
          <w:p>
            <w:r>
              <w:t>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吴国彬</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讲师   院长</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09" w:type="dxa"/>
            <w:tcBorders>
              <w:top w:val="single" w:color="auto" w:sz="4" w:space="0"/>
              <w:left w:val="single" w:color="auto" w:sz="4" w:space="0"/>
              <w:bottom w:val="single" w:color="auto" w:sz="4" w:space="0"/>
              <w:right w:val="single" w:color="auto" w:sz="4" w:space="0"/>
            </w:tcBorders>
          </w:tcPr>
          <w:p>
            <w:r>
              <w:t>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张少红</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讲师   副院长</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09" w:type="dxa"/>
            <w:tcBorders>
              <w:top w:val="single" w:color="auto" w:sz="4" w:space="0"/>
              <w:left w:val="single" w:color="auto" w:sz="4" w:space="0"/>
              <w:bottom w:val="single" w:color="auto" w:sz="4" w:space="0"/>
              <w:right w:val="single" w:color="auto" w:sz="4" w:space="0"/>
            </w:tcBorders>
          </w:tcPr>
          <w:p>
            <w:r>
              <w:t>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徐浩</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教授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 /学士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09" w:type="dxa"/>
            <w:tcBorders>
              <w:top w:val="single" w:color="auto" w:sz="4" w:space="0"/>
              <w:left w:val="single" w:color="auto" w:sz="4" w:space="0"/>
              <w:bottom w:val="single" w:color="auto" w:sz="4" w:space="0"/>
              <w:right w:val="single" w:color="auto" w:sz="4" w:space="0"/>
            </w:tcBorders>
          </w:tcPr>
          <w:p>
            <w:r>
              <w:t>4</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 xml:space="preserve">谢明昆 </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研究生/博士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9" w:type="dxa"/>
            <w:tcBorders>
              <w:top w:val="single" w:color="auto" w:sz="4" w:space="0"/>
              <w:left w:val="single" w:color="auto" w:sz="4" w:space="0"/>
              <w:bottom w:val="single" w:color="auto" w:sz="4" w:space="0"/>
              <w:right w:val="single" w:color="auto" w:sz="4" w:space="0"/>
            </w:tcBorders>
          </w:tcPr>
          <w:p>
            <w:r>
              <w:t>5</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 xml:space="preserve">袁文萍 </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709" w:type="dxa"/>
            <w:tcBorders>
              <w:top w:val="single" w:color="auto" w:sz="4" w:space="0"/>
              <w:left w:val="single" w:color="auto" w:sz="4" w:space="0"/>
              <w:bottom w:val="single" w:color="auto" w:sz="4" w:space="0"/>
              <w:right w:val="single" w:color="auto" w:sz="4" w:space="0"/>
            </w:tcBorders>
          </w:tcPr>
          <w:p>
            <w:r>
              <w:t>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李妙兰</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 xml:space="preserve">本科/学士 </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09" w:type="dxa"/>
            <w:tcBorders>
              <w:top w:val="single" w:color="auto" w:sz="4" w:space="0"/>
              <w:left w:val="single" w:color="auto" w:sz="4" w:space="0"/>
              <w:bottom w:val="single" w:color="auto" w:sz="4" w:space="0"/>
              <w:right w:val="single" w:color="auto" w:sz="4" w:space="0"/>
            </w:tcBorders>
          </w:tcPr>
          <w:p>
            <w:r>
              <w:t>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黎雪琼</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09" w:type="dxa"/>
            <w:tcBorders>
              <w:top w:val="single" w:color="auto" w:sz="4" w:space="0"/>
              <w:left w:val="single" w:color="auto" w:sz="4" w:space="0"/>
              <w:bottom w:val="single" w:color="auto" w:sz="4" w:space="0"/>
              <w:right w:val="single" w:color="auto" w:sz="4" w:space="0"/>
            </w:tcBorders>
          </w:tcPr>
          <w:p>
            <w:r>
              <w:t>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李容</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肖文朴</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10</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梁树杰</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教务部部长</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张汉省</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财务部副部长</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刘峥嵘</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财务部部长</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马磊</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副教授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14</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曾春燕</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15</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骆春榕</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09" w:type="dxa"/>
            <w:tcBorders>
              <w:top w:val="single" w:color="auto" w:sz="4" w:space="0"/>
              <w:left w:val="single" w:color="auto" w:sz="4" w:space="0"/>
              <w:bottom w:val="single" w:color="auto" w:sz="4" w:space="0"/>
              <w:right w:val="single" w:color="auto" w:sz="4" w:space="0"/>
            </w:tcBorders>
          </w:tcPr>
          <w:p>
            <w:r>
              <w:t>16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蔡静颖</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 xml:space="preserve">副教授   教师 </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tcPr>
          <w:p>
            <w:r>
              <w:t>17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冼胜佳</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高级讲师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 xml:space="preserve">本科/学士 </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tcPr>
          <w:p>
            <w:r>
              <w:t>18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吴月明</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09" w:type="dxa"/>
            <w:tcBorders>
              <w:top w:val="single" w:color="auto" w:sz="4" w:space="0"/>
              <w:left w:val="single" w:color="auto" w:sz="4" w:space="0"/>
              <w:bottom w:val="single" w:color="auto" w:sz="4" w:space="0"/>
              <w:right w:val="single" w:color="auto" w:sz="4" w:space="0"/>
            </w:tcBorders>
          </w:tcPr>
          <w:p>
            <w:r>
              <w:t>19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巫昭海</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asciiTheme="majorEastAsia" w:hAnsiTheme="majorEastAsia" w:eastAsiaTheme="majorEastAsia"/>
                <w:szCs w:val="21"/>
              </w:rPr>
            </w:pPr>
            <w:r>
              <w:rPr>
                <w:rFonts w:hint="eastAsia" w:asciiTheme="majorEastAsia" w:hAnsiTheme="majorEastAsia" w:eastAsiaTheme="majorEastAsia"/>
                <w:szCs w:val="21"/>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 xml:space="preserve">本科/学士 </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09" w:type="dxa"/>
            <w:tcBorders>
              <w:top w:val="single" w:color="auto" w:sz="4" w:space="0"/>
              <w:left w:val="single" w:color="auto" w:sz="4" w:space="0"/>
              <w:bottom w:val="single" w:color="auto" w:sz="4" w:space="0"/>
              <w:right w:val="single" w:color="auto" w:sz="4" w:space="0"/>
            </w:tcBorders>
          </w:tcPr>
          <w:p>
            <w:r>
              <w:t>20</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荆婷</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709" w:type="dxa"/>
            <w:tcBorders>
              <w:top w:val="single" w:color="auto" w:sz="4" w:space="0"/>
              <w:left w:val="single" w:color="auto" w:sz="4" w:space="0"/>
              <w:bottom w:val="single" w:color="auto" w:sz="4" w:space="0"/>
              <w:right w:val="single" w:color="auto" w:sz="4" w:space="0"/>
            </w:tcBorders>
          </w:tcPr>
          <w:p>
            <w:r>
              <w:t>21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王海燕</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709" w:type="dxa"/>
            <w:tcBorders>
              <w:top w:val="single" w:color="auto" w:sz="4" w:space="0"/>
              <w:left w:val="single" w:color="auto" w:sz="4" w:space="0"/>
              <w:bottom w:val="single" w:color="auto" w:sz="4" w:space="0"/>
              <w:right w:val="single" w:color="auto" w:sz="4" w:space="0"/>
            </w:tcBorders>
          </w:tcPr>
          <w:p>
            <w:r>
              <w:t>22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庞桂梅</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709" w:type="dxa"/>
            <w:tcBorders>
              <w:top w:val="single" w:color="auto" w:sz="4" w:space="0"/>
              <w:left w:val="single" w:color="auto" w:sz="4" w:space="0"/>
              <w:bottom w:val="single" w:color="auto" w:sz="4" w:space="0"/>
              <w:right w:val="single" w:color="auto" w:sz="4" w:space="0"/>
            </w:tcBorders>
          </w:tcPr>
          <w:p>
            <w:r>
              <w:t>23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刘憨</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24</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李欢欢</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25</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周小丹</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 xml:space="preserve">本科/学士 </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陈巧颖</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 xml:space="preserve">本科/学士 </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卢嘉倩</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李明明</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29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陈慧</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30</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王阿丹</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熊雄</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刘杰</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黄燕燕</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34</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刘洋洋</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35</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李丹恒</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袁柳蝶</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陈霞</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朱俊光</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39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谭艺瞳</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40</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张永波</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邱文香</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赵静</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陈敏</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44</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沈浩然</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45</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谭祥花</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46</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李梦园</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47</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王之瑶</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48</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杨锋</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49</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戚春倩</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50</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黄琳</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51</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陈鸿翔</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52</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罗尚妍</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53</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朱华帅</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54</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罗丹萍</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55</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吴亦谦</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56</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周帆</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57</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周靖靖</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58</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李月琴</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59</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陈英萍</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60</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陈东超</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中学高级教师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61</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白英娇</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62</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岑俏媛</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63</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王丽婷</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64</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刘哲</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09" w:type="dxa"/>
            <w:tcBorders>
              <w:top w:val="single" w:color="auto" w:sz="4" w:space="0"/>
              <w:left w:val="single" w:color="auto" w:sz="4" w:space="0"/>
              <w:bottom w:val="single" w:color="auto" w:sz="4" w:space="0"/>
              <w:right w:val="single" w:color="auto" w:sz="4" w:space="0"/>
            </w:tcBorders>
          </w:tcPr>
          <w:p>
            <w:r>
              <w:t>6</w:t>
            </w:r>
            <w:r>
              <w:rPr>
                <w:rFonts w:hint="eastAsia"/>
              </w:rPr>
              <w:t>5</w:t>
            </w:r>
          </w:p>
        </w:tc>
        <w:tc>
          <w:tcPr>
            <w:tcW w:w="1276" w:type="dxa"/>
            <w:gridSpan w:val="2"/>
            <w:tcBorders>
              <w:top w:val="single" w:color="auto" w:sz="4" w:space="0"/>
              <w:left w:val="single" w:color="auto" w:sz="4" w:space="0"/>
              <w:bottom w:val="single" w:color="auto" w:sz="4" w:space="0"/>
              <w:right w:val="single" w:color="auto" w:sz="4" w:space="0"/>
            </w:tcBorders>
          </w:tcPr>
          <w:p>
            <w:r>
              <w:rPr>
                <w:rFonts w:hint="eastAsia"/>
              </w:rPr>
              <w:t>朱晓</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幼儿园高级教师  教师</w:t>
            </w:r>
          </w:p>
        </w:tc>
        <w:tc>
          <w:tcPr>
            <w:tcW w:w="1704" w:type="dxa"/>
            <w:gridSpan w:val="2"/>
            <w:tcBorders>
              <w:top w:val="single" w:color="auto" w:sz="4" w:space="0"/>
              <w:left w:val="single" w:color="auto" w:sz="4" w:space="0"/>
              <w:bottom w:val="single" w:color="auto" w:sz="4" w:space="0"/>
              <w:right w:val="single" w:color="auto" w:sz="4" w:space="0"/>
            </w:tcBorders>
          </w:tcPr>
          <w:p>
            <w:r>
              <w:rPr>
                <w:rFonts w:hint="eastAsia"/>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6</w:t>
            </w:r>
            <w:r>
              <w:rPr>
                <w:rFonts w:hint="eastAsia"/>
              </w:rPr>
              <w:t>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朱璐璇</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6</w:t>
            </w:r>
            <w:r>
              <w:rPr>
                <w:rFonts w:hint="eastAsia"/>
              </w:rPr>
              <w:t>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邱文香</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rPr>
                <w:rFonts w:hint="eastAsia"/>
              </w:rPr>
              <w:t>68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陈鸿翔</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tcPr>
          <w:p>
            <w:r>
              <w:rPr>
                <w:rFonts w:hint="eastAsia"/>
              </w:rPr>
              <w:t>69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王菲菲</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0</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刘付燕婷</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1</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吴佩珊</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2</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张珏</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3</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李晨曦</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4</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陈玥言</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5</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沈浩然</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t>7</w:t>
            </w:r>
            <w:r>
              <w:rPr>
                <w:rFonts w:hint="eastAsia"/>
              </w:rPr>
              <w:t>6</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asciiTheme="majorEastAsia" w:hAnsiTheme="majorEastAsia" w:eastAsiaTheme="majorEastAsia"/>
                <w:szCs w:val="21"/>
              </w:rPr>
              <w:t>罗尚妍</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rPr>
                <w:rFonts w:hint="eastAsia"/>
              </w:rPr>
              <w:t>77</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陈玉霞</w:t>
            </w:r>
          </w:p>
        </w:tc>
        <w:tc>
          <w:tcPr>
            <w:tcW w:w="3509" w:type="dxa"/>
            <w:gridSpan w:val="4"/>
            <w:tcBorders>
              <w:top w:val="single" w:color="auto" w:sz="4" w:space="0"/>
              <w:left w:val="single" w:color="auto" w:sz="4" w:space="0"/>
              <w:bottom w:val="single" w:color="auto" w:sz="4" w:space="0"/>
              <w:right w:val="single" w:color="auto" w:sz="4" w:space="0"/>
            </w:tcBorders>
          </w:tcPr>
          <w:p>
            <w:r>
              <w:rPr>
                <w:rFonts w:hint="eastAsia"/>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研究生/博士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rPr>
                <w:rFonts w:hint="eastAsia"/>
              </w:rPr>
              <w:t>78</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刘志波</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讲师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研究生/博士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9" w:type="dxa"/>
            <w:tcBorders>
              <w:top w:val="single" w:color="auto" w:sz="4" w:space="0"/>
              <w:left w:val="single" w:color="auto" w:sz="4" w:space="0"/>
              <w:bottom w:val="single" w:color="auto" w:sz="4" w:space="0"/>
              <w:right w:val="single" w:color="auto" w:sz="4" w:space="0"/>
            </w:tcBorders>
          </w:tcPr>
          <w:p>
            <w:r>
              <w:rPr>
                <w:rFonts w:hint="eastAsia"/>
              </w:rPr>
              <w:t>79</w:t>
            </w:r>
          </w:p>
        </w:tc>
        <w:tc>
          <w:tcPr>
            <w:tcW w:w="1276"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莫欣欣</w:t>
            </w:r>
          </w:p>
        </w:tc>
        <w:tc>
          <w:tcPr>
            <w:tcW w:w="3509" w:type="dxa"/>
            <w:gridSpan w:val="4"/>
            <w:tcBorders>
              <w:top w:val="single" w:color="auto" w:sz="4" w:space="0"/>
              <w:left w:val="single" w:color="auto" w:sz="4" w:space="0"/>
              <w:bottom w:val="single" w:color="auto" w:sz="4" w:space="0"/>
              <w:right w:val="single" w:color="auto" w:sz="4" w:space="0"/>
            </w:tcBorders>
          </w:tcPr>
          <w:p>
            <w:pPr>
              <w:adjustRightInd w:val="0"/>
              <w:snapToGrid w:val="0"/>
              <w:rPr>
                <w:rFonts w:cs="宋体" w:asciiTheme="majorEastAsia" w:hAnsiTheme="majorEastAsia" w:eastAsiaTheme="majorEastAsia"/>
                <w:szCs w:val="21"/>
              </w:rPr>
            </w:pPr>
            <w:r>
              <w:rPr>
                <w:rFonts w:hint="eastAsia" w:cs="宋体" w:asciiTheme="majorEastAsia" w:hAnsiTheme="majorEastAsia" w:eastAsiaTheme="majorEastAsia"/>
                <w:szCs w:val="21"/>
              </w:rPr>
              <w:t>助教  教师</w:t>
            </w:r>
          </w:p>
        </w:tc>
        <w:tc>
          <w:tcPr>
            <w:tcW w:w="1704" w:type="dxa"/>
            <w:gridSpan w:val="2"/>
            <w:tcBorders>
              <w:top w:val="single" w:color="auto" w:sz="4" w:space="0"/>
              <w:left w:val="single" w:color="auto" w:sz="4" w:space="0"/>
              <w:bottom w:val="single" w:color="auto" w:sz="4" w:space="0"/>
              <w:right w:val="single" w:color="auto" w:sz="4" w:space="0"/>
            </w:tcBorders>
          </w:tcPr>
          <w:p>
            <w:pPr>
              <w:tabs>
                <w:tab w:val="center" w:pos="789"/>
              </w:tabs>
              <w:adjustRightInd w:val="0"/>
              <w:snapToGrid w:val="0"/>
              <w:rPr>
                <w:rFonts w:ascii="宋体" w:hAnsi="宋体" w:cs="宋体"/>
                <w:szCs w:val="21"/>
              </w:rPr>
            </w:pPr>
            <w:r>
              <w:rPr>
                <w:rFonts w:hint="eastAsia" w:ascii="宋体" w:hAnsi="宋体" w:cs="宋体"/>
                <w:szCs w:val="21"/>
              </w:rPr>
              <w:t>研究生/博士</w:t>
            </w:r>
          </w:p>
        </w:tc>
        <w:tc>
          <w:tcPr>
            <w:tcW w:w="2300" w:type="dxa"/>
            <w:gridSpan w:val="2"/>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cs="宋体"/>
                <w:szCs w:val="21"/>
              </w:rPr>
            </w:pPr>
            <w:r>
              <w:rPr>
                <w:rFonts w:hint="eastAsia" w:ascii="宋体" w:hAnsi="宋体" w:cs="宋体"/>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gridSpan w:val="2"/>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中级</w:t>
            </w:r>
          </w:p>
        </w:tc>
        <w:tc>
          <w:tcPr>
            <w:tcW w:w="2972"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初级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20</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23.8%</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23</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27.4%</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41</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440" w:type="dxa"/>
            <w:gridSpan w:val="2"/>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35-45岁</w:t>
            </w:r>
          </w:p>
        </w:tc>
        <w:tc>
          <w:tcPr>
            <w:tcW w:w="2972"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45岁以上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45</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53.4%</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29</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34.5%</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10</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440" w:type="dxa"/>
            <w:gridSpan w:val="2"/>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硕士（含在读）</w:t>
            </w:r>
          </w:p>
        </w:tc>
        <w:tc>
          <w:tcPr>
            <w:tcW w:w="2972"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学士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4.8%</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53</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63.1%</w:t>
            </w:r>
          </w:p>
        </w:tc>
        <w:tc>
          <w:tcPr>
            <w:tcW w:w="1091"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27</w:t>
            </w:r>
          </w:p>
        </w:tc>
        <w:tc>
          <w:tcPr>
            <w:tcW w:w="188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440" w:type="dxa"/>
            <w:gridSpan w:val="2"/>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否</w:t>
            </w:r>
          </w:p>
        </w:tc>
        <w:tc>
          <w:tcPr>
            <w:tcW w:w="2972" w:type="dxa"/>
            <w:gridSpan w:val="3"/>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297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43</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51.2%</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41</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48.8%</w:t>
            </w:r>
          </w:p>
        </w:tc>
        <w:tc>
          <w:tcPr>
            <w:tcW w:w="297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40" w:type="dxa"/>
            <w:gridSpan w:val="2"/>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无</w:t>
            </w:r>
          </w:p>
        </w:tc>
        <w:tc>
          <w:tcPr>
            <w:tcW w:w="2972" w:type="dxa"/>
            <w:gridSpan w:val="3"/>
            <w:vMerge w:val="restart"/>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比例</w:t>
            </w:r>
          </w:p>
        </w:tc>
        <w:tc>
          <w:tcPr>
            <w:tcW w:w="297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46</w:t>
            </w:r>
          </w:p>
        </w:tc>
        <w:tc>
          <w:tcPr>
            <w:tcW w:w="128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54.7%</w:t>
            </w:r>
          </w:p>
        </w:tc>
        <w:tc>
          <w:tcPr>
            <w:tcW w:w="109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38</w:t>
            </w:r>
          </w:p>
        </w:tc>
        <w:tc>
          <w:tcPr>
            <w:tcW w:w="1176"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szCs w:val="21"/>
              </w:rPr>
            </w:pPr>
            <w:r>
              <w:rPr>
                <w:rFonts w:hint="eastAsia" w:ascii="宋体" w:hAnsi="宋体" w:cs="宋体"/>
                <w:szCs w:val="21"/>
              </w:rPr>
              <w:t>45.2%</w:t>
            </w:r>
          </w:p>
        </w:tc>
        <w:tc>
          <w:tcPr>
            <w:tcW w:w="297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r>
    </w:tbl>
    <w:p>
      <w:pPr>
        <w:spacing w:line="400" w:lineRule="exact"/>
        <w:ind w:firstLine="420"/>
        <w:rPr>
          <w:rFonts w:ascii="宋体" w:hAnsi="宋体"/>
          <w:szCs w:val="21"/>
        </w:rPr>
      </w:pPr>
      <w:r>
        <w:rPr>
          <w:rFonts w:hint="eastAsia" w:ascii="宋体" w:hAnsi="宋体"/>
          <w:szCs w:val="21"/>
        </w:rPr>
        <w:t>2.兼职教师</w:t>
      </w:r>
    </w:p>
    <w:p>
      <w:pPr>
        <w:spacing w:line="400" w:lineRule="exact"/>
        <w:ind w:firstLine="420"/>
        <w:rPr>
          <w:rFonts w:ascii="宋体" w:hAnsi="宋体"/>
          <w:szCs w:val="21"/>
        </w:rPr>
      </w:pPr>
      <w:r>
        <w:rPr>
          <w:rFonts w:hint="eastAsia" w:ascii="宋体" w:hAnsi="宋体"/>
          <w:szCs w:val="21"/>
        </w:rPr>
        <w:t>五年一贯学前教育专业还聘请了企业经验丰富的兼职老师，负责本专业的部分实践教学。</w:t>
      </w:r>
    </w:p>
    <w:p>
      <w:pPr>
        <w:spacing w:line="400" w:lineRule="exact"/>
        <w:ind w:firstLine="420"/>
        <w:jc w:val="center"/>
        <w:rPr>
          <w:rFonts w:ascii="宋体" w:hAnsi="宋体"/>
          <w:szCs w:val="21"/>
        </w:rPr>
      </w:pPr>
      <w:r>
        <w:rPr>
          <w:rFonts w:hint="eastAsia" w:ascii="宋体" w:hAnsi="宋体"/>
          <w:szCs w:val="21"/>
        </w:rPr>
        <w:t>兼职教师一览表</w:t>
      </w:r>
    </w:p>
    <w:tbl>
      <w:tblPr>
        <w:tblStyle w:val="5"/>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pPr>
              <w:jc w:val="center"/>
              <w:rPr>
                <w:rFonts w:ascii="宋体" w:hAnsi="宋体"/>
                <w:b/>
                <w:szCs w:val="21"/>
              </w:rPr>
            </w:pPr>
            <w:r>
              <w:rPr>
                <w:rFonts w:hint="eastAsia" w:ascii="宋体" w:hAnsi="宋体"/>
                <w:b/>
                <w:szCs w:val="21"/>
              </w:rPr>
              <w:t>序号</w:t>
            </w:r>
          </w:p>
        </w:tc>
        <w:tc>
          <w:tcPr>
            <w:tcW w:w="1390" w:type="dxa"/>
            <w:vAlign w:val="center"/>
          </w:tcPr>
          <w:p>
            <w:pPr>
              <w:jc w:val="center"/>
              <w:rPr>
                <w:rFonts w:ascii="宋体" w:hAnsi="宋体"/>
                <w:b/>
                <w:szCs w:val="21"/>
              </w:rPr>
            </w:pPr>
            <w:r>
              <w:rPr>
                <w:rFonts w:hint="eastAsia" w:ascii="宋体" w:hAnsi="宋体"/>
                <w:b/>
                <w:szCs w:val="21"/>
              </w:rPr>
              <w:t>姓名</w:t>
            </w:r>
          </w:p>
        </w:tc>
        <w:tc>
          <w:tcPr>
            <w:tcW w:w="4568" w:type="dxa"/>
            <w:vAlign w:val="center"/>
          </w:tcPr>
          <w:p>
            <w:pPr>
              <w:jc w:val="center"/>
              <w:rPr>
                <w:rFonts w:ascii="宋体" w:hAnsi="宋体"/>
                <w:b/>
                <w:szCs w:val="21"/>
              </w:rPr>
            </w:pPr>
            <w:r>
              <w:rPr>
                <w:rFonts w:hint="eastAsia" w:ascii="宋体" w:hAnsi="宋体"/>
                <w:b/>
                <w:szCs w:val="21"/>
              </w:rPr>
              <w:t>工作单位</w:t>
            </w:r>
          </w:p>
        </w:tc>
        <w:tc>
          <w:tcPr>
            <w:tcW w:w="2802" w:type="dxa"/>
            <w:vAlign w:val="center"/>
          </w:tcPr>
          <w:p>
            <w:pPr>
              <w:jc w:val="center"/>
              <w:rPr>
                <w:rFonts w:ascii="宋体" w:hAnsi="宋体"/>
                <w:b/>
                <w:szCs w:val="21"/>
              </w:rPr>
            </w:pPr>
            <w:r>
              <w:rPr>
                <w:rFonts w:hint="eastAsia" w:ascii="宋体" w:hAnsi="宋体"/>
                <w:b/>
                <w:szCs w:val="21"/>
              </w:rPr>
              <w:t>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pPr>
              <w:jc w:val="center"/>
              <w:rPr>
                <w:rFonts w:ascii="宋体" w:hAnsi="宋体"/>
                <w:szCs w:val="21"/>
              </w:rPr>
            </w:pPr>
            <w:r>
              <w:rPr>
                <w:rFonts w:hint="eastAsia" w:ascii="宋体" w:hAnsi="宋体"/>
                <w:szCs w:val="21"/>
              </w:rPr>
              <w:t>1</w:t>
            </w:r>
          </w:p>
        </w:tc>
        <w:tc>
          <w:tcPr>
            <w:tcW w:w="1390" w:type="dxa"/>
            <w:vAlign w:val="center"/>
          </w:tcPr>
          <w:p>
            <w:pPr>
              <w:jc w:val="center"/>
              <w:rPr>
                <w:rFonts w:ascii="宋体" w:hAnsi="宋体"/>
                <w:szCs w:val="21"/>
              </w:rPr>
            </w:pPr>
            <w:r>
              <w:rPr>
                <w:rFonts w:hint="eastAsia" w:ascii="宋体" w:hAnsi="宋体" w:cs="宋体"/>
                <w:sz w:val="20"/>
                <w:szCs w:val="20"/>
              </w:rPr>
              <w:t>吴木琴</w:t>
            </w:r>
          </w:p>
        </w:tc>
        <w:tc>
          <w:tcPr>
            <w:tcW w:w="4568" w:type="dxa"/>
            <w:vAlign w:val="center"/>
          </w:tcPr>
          <w:p>
            <w:pPr>
              <w:jc w:val="center"/>
              <w:rPr>
                <w:rFonts w:ascii="宋体" w:hAnsi="宋体"/>
                <w:szCs w:val="21"/>
              </w:rPr>
            </w:pPr>
            <w:r>
              <w:rPr>
                <w:rFonts w:hint="eastAsia" w:ascii="宋体" w:hAnsi="宋体" w:cs="宋体"/>
                <w:sz w:val="20"/>
                <w:szCs w:val="20"/>
              </w:rPr>
              <w:t>茂名市第二幼儿园</w:t>
            </w:r>
          </w:p>
        </w:tc>
        <w:tc>
          <w:tcPr>
            <w:tcW w:w="2802" w:type="dxa"/>
            <w:vAlign w:val="center"/>
          </w:tcPr>
          <w:p>
            <w:pPr>
              <w:jc w:val="center"/>
              <w:rPr>
                <w:rFonts w:ascii="宋体" w:hAnsi="宋体"/>
                <w:szCs w:val="21"/>
              </w:rPr>
            </w:pPr>
            <w:r>
              <w:rPr>
                <w:rFonts w:hint="eastAsia" w:ascii="宋体" w:hAnsi="宋体" w:cs="宋体"/>
                <w:color w:val="000000"/>
                <w:szCs w:val="21"/>
              </w:rPr>
              <w:t>园长 正高级教师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pPr>
              <w:widowControl/>
              <w:jc w:val="center"/>
              <w:rPr>
                <w:rFonts w:ascii="宋体" w:hAnsi="宋体" w:cs="Arial"/>
                <w:kern w:val="0"/>
                <w:szCs w:val="21"/>
              </w:rPr>
            </w:pPr>
            <w:r>
              <w:rPr>
                <w:rFonts w:hint="eastAsia" w:ascii="宋体" w:hAnsi="宋体" w:cs="宋体"/>
                <w:sz w:val="20"/>
                <w:szCs w:val="20"/>
              </w:rPr>
              <w:t>江辉</w:t>
            </w:r>
          </w:p>
        </w:tc>
        <w:tc>
          <w:tcPr>
            <w:tcW w:w="4568" w:type="dxa"/>
            <w:vAlign w:val="center"/>
          </w:tcPr>
          <w:p>
            <w:pPr>
              <w:widowControl/>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pPr>
              <w:widowControl/>
              <w:jc w:val="center"/>
              <w:rPr>
                <w:rFonts w:ascii="宋体" w:hAnsi="宋体" w:cs="Arial"/>
                <w:kern w:val="0"/>
                <w:szCs w:val="21"/>
              </w:rPr>
            </w:pPr>
            <w:r>
              <w:rPr>
                <w:rFonts w:hint="eastAsia" w:ascii="宋体" w:hAnsi="宋体" w:cs="宋体"/>
                <w:color w:val="000000"/>
                <w:szCs w:val="21"/>
              </w:rPr>
              <w:t>副园长 高级教师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pPr>
              <w:widowControl/>
              <w:jc w:val="center"/>
              <w:rPr>
                <w:rFonts w:ascii="宋体" w:hAnsi="宋体" w:cs="Arial"/>
                <w:kern w:val="0"/>
                <w:szCs w:val="21"/>
              </w:rPr>
            </w:pPr>
            <w:r>
              <w:rPr>
                <w:rFonts w:hint="eastAsia" w:ascii="宋体" w:hAnsi="宋体" w:cs="Arial"/>
                <w:kern w:val="0"/>
                <w:szCs w:val="21"/>
              </w:rPr>
              <w:t>3</w:t>
            </w:r>
          </w:p>
        </w:tc>
        <w:tc>
          <w:tcPr>
            <w:tcW w:w="1390" w:type="dxa"/>
            <w:vAlign w:val="center"/>
          </w:tcPr>
          <w:p>
            <w:pPr>
              <w:widowControl/>
              <w:jc w:val="center"/>
              <w:rPr>
                <w:rFonts w:ascii="宋体" w:hAnsi="宋体" w:cs="Arial"/>
                <w:kern w:val="0"/>
                <w:szCs w:val="21"/>
              </w:rPr>
            </w:pPr>
            <w:r>
              <w:rPr>
                <w:rFonts w:hint="eastAsia" w:ascii="宋体" w:hAnsi="宋体" w:cs="宋体"/>
                <w:sz w:val="20"/>
                <w:szCs w:val="20"/>
              </w:rPr>
              <w:t>陈洪樱</w:t>
            </w:r>
          </w:p>
        </w:tc>
        <w:tc>
          <w:tcPr>
            <w:tcW w:w="4568" w:type="dxa"/>
            <w:vAlign w:val="center"/>
          </w:tcPr>
          <w:p>
            <w:pPr>
              <w:widowControl/>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pPr>
              <w:widowControl/>
              <w:jc w:val="center"/>
              <w:rPr>
                <w:rFonts w:ascii="宋体" w:hAnsi="宋体" w:cs="Arial"/>
                <w:kern w:val="0"/>
                <w:szCs w:val="21"/>
              </w:rPr>
            </w:pPr>
            <w:r>
              <w:rPr>
                <w:rFonts w:hint="eastAsia" w:ascii="宋体" w:hAnsi="宋体" w:cs="宋体"/>
                <w:color w:val="000000"/>
                <w:szCs w:val="21"/>
              </w:rPr>
              <w:t>副园长 高级教师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pPr>
              <w:widowControl/>
              <w:jc w:val="center"/>
              <w:rPr>
                <w:rFonts w:ascii="宋体" w:hAnsi="宋体" w:cs="Arial"/>
                <w:kern w:val="0"/>
                <w:szCs w:val="21"/>
              </w:rPr>
            </w:pPr>
            <w:r>
              <w:rPr>
                <w:rFonts w:hint="eastAsia" w:ascii="宋体" w:hAnsi="宋体" w:cs="Arial"/>
                <w:kern w:val="0"/>
                <w:szCs w:val="21"/>
              </w:rPr>
              <w:t>4</w:t>
            </w:r>
          </w:p>
        </w:tc>
        <w:tc>
          <w:tcPr>
            <w:tcW w:w="1390" w:type="dxa"/>
            <w:vAlign w:val="center"/>
          </w:tcPr>
          <w:p>
            <w:pPr>
              <w:widowControl/>
              <w:jc w:val="center"/>
              <w:rPr>
                <w:rFonts w:ascii="宋体" w:hAnsi="宋体" w:cs="Arial"/>
                <w:kern w:val="0"/>
                <w:szCs w:val="21"/>
              </w:rPr>
            </w:pPr>
            <w:r>
              <w:rPr>
                <w:rFonts w:hint="eastAsia" w:ascii="宋体" w:hAnsi="宋体" w:cs="宋体"/>
                <w:sz w:val="20"/>
                <w:szCs w:val="20"/>
              </w:rPr>
              <w:t>柯小耘</w:t>
            </w:r>
          </w:p>
        </w:tc>
        <w:tc>
          <w:tcPr>
            <w:tcW w:w="4568" w:type="dxa"/>
            <w:vAlign w:val="center"/>
          </w:tcPr>
          <w:p>
            <w:pPr>
              <w:widowControl/>
              <w:jc w:val="center"/>
              <w:rPr>
                <w:rFonts w:ascii="宋体" w:hAnsi="宋体" w:cs="Arial"/>
                <w:kern w:val="0"/>
                <w:szCs w:val="21"/>
              </w:rPr>
            </w:pPr>
            <w:r>
              <w:rPr>
                <w:rFonts w:hint="eastAsia" w:ascii="宋体" w:hAnsi="宋体" w:cs="宋体"/>
                <w:sz w:val="20"/>
                <w:szCs w:val="20"/>
              </w:rPr>
              <w:t>茂名市第一幼儿园</w:t>
            </w:r>
          </w:p>
        </w:tc>
        <w:tc>
          <w:tcPr>
            <w:tcW w:w="2802" w:type="dxa"/>
            <w:vAlign w:val="center"/>
          </w:tcPr>
          <w:p>
            <w:pPr>
              <w:widowControl/>
              <w:jc w:val="center"/>
              <w:rPr>
                <w:rFonts w:ascii="宋体" w:hAnsi="宋体" w:cs="Arial"/>
                <w:kern w:val="0"/>
                <w:szCs w:val="21"/>
              </w:rPr>
            </w:pPr>
            <w:r>
              <w:rPr>
                <w:rFonts w:hint="eastAsia" w:ascii="宋体" w:hAnsi="宋体" w:cs="宋体"/>
                <w:color w:val="000000"/>
                <w:szCs w:val="21"/>
              </w:rPr>
              <w:t>保教处主任 高级教师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pPr>
              <w:widowControl/>
              <w:jc w:val="center"/>
              <w:rPr>
                <w:rFonts w:ascii="宋体" w:hAnsi="宋体" w:cs="Arial"/>
                <w:kern w:val="0"/>
                <w:szCs w:val="21"/>
              </w:rPr>
            </w:pPr>
            <w:r>
              <w:rPr>
                <w:rFonts w:hint="eastAsia" w:ascii="宋体" w:hAnsi="宋体" w:cs="Arial"/>
                <w:kern w:val="0"/>
                <w:szCs w:val="21"/>
              </w:rPr>
              <w:t>5</w:t>
            </w:r>
          </w:p>
        </w:tc>
        <w:tc>
          <w:tcPr>
            <w:tcW w:w="1390" w:type="dxa"/>
            <w:vAlign w:val="center"/>
          </w:tcPr>
          <w:p>
            <w:pPr>
              <w:widowControl/>
              <w:jc w:val="center"/>
              <w:rPr>
                <w:rFonts w:ascii="宋体" w:hAnsi="宋体" w:cs="Arial"/>
                <w:kern w:val="0"/>
                <w:szCs w:val="21"/>
              </w:rPr>
            </w:pPr>
            <w:r>
              <w:rPr>
                <w:rFonts w:hint="eastAsia" w:ascii="宋体" w:hAnsi="宋体" w:cs="宋体"/>
                <w:sz w:val="20"/>
                <w:szCs w:val="20"/>
              </w:rPr>
              <w:t>许静茹</w:t>
            </w:r>
          </w:p>
        </w:tc>
        <w:tc>
          <w:tcPr>
            <w:tcW w:w="4568" w:type="dxa"/>
            <w:vAlign w:val="center"/>
          </w:tcPr>
          <w:p>
            <w:pPr>
              <w:widowControl/>
              <w:jc w:val="center"/>
              <w:rPr>
                <w:rFonts w:ascii="宋体" w:hAnsi="宋体" w:cs="Arial"/>
                <w:kern w:val="0"/>
                <w:szCs w:val="21"/>
              </w:rPr>
            </w:pPr>
            <w:r>
              <w:rPr>
                <w:rFonts w:hint="eastAsia" w:ascii="宋体" w:hAnsi="宋体" w:cs="宋体"/>
                <w:sz w:val="20"/>
                <w:szCs w:val="20"/>
              </w:rPr>
              <w:t>茂名市第一幼儿园</w:t>
            </w:r>
          </w:p>
        </w:tc>
        <w:tc>
          <w:tcPr>
            <w:tcW w:w="2802" w:type="dxa"/>
            <w:vAlign w:val="center"/>
          </w:tcPr>
          <w:p>
            <w:pPr>
              <w:widowControl/>
              <w:jc w:val="center"/>
              <w:rPr>
                <w:rFonts w:ascii="宋体" w:hAnsi="宋体" w:cs="Arial"/>
                <w:kern w:val="0"/>
                <w:szCs w:val="21"/>
              </w:rPr>
            </w:pPr>
            <w:r>
              <w:rPr>
                <w:rFonts w:hint="eastAsia" w:ascii="宋体" w:hAnsi="宋体" w:cs="宋体"/>
                <w:color w:val="000000"/>
                <w:szCs w:val="21"/>
              </w:rPr>
              <w:t>办公室主任 高级教师</w:t>
            </w:r>
          </w:p>
        </w:tc>
      </w:tr>
    </w:tbl>
    <w:p>
      <w:pPr>
        <w:spacing w:line="360" w:lineRule="auto"/>
        <w:ind w:firstLine="422" w:firstLineChars="200"/>
        <w:outlineLvl w:val="0"/>
        <w:rPr>
          <w:rStyle w:val="7"/>
          <w:rFonts w:ascii="宋体" w:hAnsi="宋体"/>
          <w:szCs w:val="21"/>
        </w:rPr>
      </w:pPr>
      <w:r>
        <w:rPr>
          <w:rStyle w:val="7"/>
          <w:rFonts w:hint="eastAsia" w:ascii="宋体" w:hAnsi="宋体"/>
          <w:szCs w:val="21"/>
        </w:rPr>
        <w:t>（二）教学设施</w:t>
      </w:r>
    </w:p>
    <w:p>
      <w:pPr>
        <w:spacing w:line="420" w:lineRule="exact"/>
        <w:ind w:firstLine="420" w:firstLineChars="200"/>
        <w:rPr>
          <w:rFonts w:ascii="宋体" w:hAnsi="宋体"/>
          <w:bCs/>
          <w:position w:val="6"/>
        </w:rPr>
      </w:pPr>
      <w:r>
        <w:rPr>
          <w:rFonts w:hint="eastAsia" w:ascii="宋体" w:hAnsi="宋体"/>
          <w:bCs/>
          <w:position w:val="6"/>
        </w:rPr>
        <w:t>本专业有校内实训基地两个，分别是教学知识与能力实践基地与基本功与技能实践基地，教学实训室有20个，可以提供所有上机实训。校外实训基地10个，可以提供学生校外真实项目实训。</w:t>
      </w:r>
    </w:p>
    <w:p>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853"/>
        <w:gridCol w:w="708"/>
        <w:gridCol w:w="2268"/>
        <w:gridCol w:w="1737"/>
        <w:gridCol w:w="2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73" w:type="dxa"/>
            <w:vAlign w:val="center"/>
          </w:tcPr>
          <w:p>
            <w:pPr>
              <w:widowControl/>
              <w:jc w:val="center"/>
              <w:rPr>
                <w:rFonts w:ascii="宋体" w:hAnsi="宋体" w:cs="宋体"/>
                <w:b/>
                <w:bCs/>
                <w:kern w:val="0"/>
                <w:szCs w:val="21"/>
              </w:rPr>
            </w:pPr>
            <w:r>
              <w:rPr>
                <w:rFonts w:hint="eastAsia" w:ascii="宋体" w:hAnsi="宋体" w:cs="宋体"/>
                <w:b/>
                <w:bCs/>
                <w:kern w:val="0"/>
                <w:szCs w:val="21"/>
              </w:rPr>
              <w:t>序号</w:t>
            </w:r>
          </w:p>
        </w:tc>
        <w:tc>
          <w:tcPr>
            <w:tcW w:w="1853" w:type="dxa"/>
            <w:vAlign w:val="center"/>
          </w:tcPr>
          <w:p>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pPr>
              <w:widowControl/>
              <w:jc w:val="center"/>
              <w:rPr>
                <w:rFonts w:ascii="宋体" w:hAnsi="宋体" w:cs="宋体"/>
                <w:b/>
                <w:bCs/>
                <w:kern w:val="0"/>
                <w:szCs w:val="21"/>
              </w:rPr>
            </w:pPr>
            <w:r>
              <w:rPr>
                <w:rFonts w:hint="eastAsia" w:ascii="宋体" w:hAnsi="宋体" w:cs="宋体"/>
                <w:b/>
                <w:bCs/>
                <w:kern w:val="0"/>
                <w:szCs w:val="21"/>
              </w:rPr>
              <w:t>教学项目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幼儿保健与卫生实训室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学前儿童卫生与保健</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17cm医用人体骨骼神经血管骨架、眼球与眼眶放大模型、人体心脏解剖模型、呼吸系统图、耳朵模型等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幼儿园仿真教学实训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蒙台梭利实训室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蒙台梭利教学法</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182 套件蒙氏教具上海毓才教育</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幼儿园仿真教学实训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3</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奥尔夫音乐实训室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奥尔夫音乐教学法</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含4寸三角铁、直径3.3cm左右小手柄碰钟、长20cm打棒、5.5c钢指镲等奥尔夫教学器材380件</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幼儿园仿真教学实训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4</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钢琴实训室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钢琴</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钢琴</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学生技能训练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音乐理论教学室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视唱练耳乐理</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多媒体平台、钢琴</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音乐理论教学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6</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数码钢琴实训室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儿歌弹唱</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数码钢琴</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钢琴教学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7</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舞蹈室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形体与幼儿舞蹈基础</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镜面墙、把杆等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8</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学前美术手工作品展厅</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美术与手工制作</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145cm画架、25*30*40cm静物45*35*40cm石膏体等素描器材</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学生手工作品展示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9</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学前律动实训室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律动</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镜面墙</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学生早晚练习、课余时间律动训练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10</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个体心理咨询室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行政楼</w:t>
            </w:r>
          </w:p>
        </w:tc>
        <w:tc>
          <w:tcPr>
            <w:tcW w:w="2268" w:type="dxa"/>
            <w:vAlign w:val="center"/>
          </w:tcPr>
          <w:p>
            <w:pPr>
              <w:widowControl/>
              <w:jc w:val="center"/>
              <w:rPr>
                <w:rFonts w:cs="宋体" w:asciiTheme="minorEastAsia" w:hAnsiTheme="minorEastAsia" w:eastAsiaTheme="minorEastAsia"/>
                <w:kern w:val="0"/>
                <w:szCs w:val="21"/>
              </w:rPr>
            </w:pP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1个团体盘72*101*7cm， 3个标准盘57＊72＊7cm、4个沙具架:共有6层，1800个沙具等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学生个体心理咨询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11</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感统训练实训室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感统训练与儿童动作发展</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8直8曲型踩踏平衡触觉板、94cm圆平衡板、太阳感统组合（120件/套)等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感统训练与儿童动作发展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12</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美术实训室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美术与手工制作、简笔画</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145cm画架、25*30*40cm静物45*35*40cm石膏体等素描器材</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简笔画素描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13</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幼儿心理实验室</w:t>
            </w:r>
          </w:p>
        </w:tc>
        <w:tc>
          <w:tcPr>
            <w:tcW w:w="70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学前师训楼</w:t>
            </w: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学前儿童发展心理学</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1个团体盘72*101*7cm， 3个标准盘57＊72＊7cm、4个沙具架:共有6层，1800个沙具等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幼儿发展心理实验研究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14</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教学设计室</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说课与教学设计、幼儿园教育活动设计与指导、幼儿园游戏活动指导、保教知识与能力</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教学一体机</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基于网络平台和实训资源，实现协同备课，提高教师的教学设计能力。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15</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微格教学训练室</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说课与教学设计</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教学一体机</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围绕教师专业能力发展与提高的综合体，旨在训练和提高教师的课堂观察、分析、组织的能力与技巧。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16</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幼儿师范公共技能实训中心</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幼儿园教育活动设计与指导、保教知识与能力</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AR虚拟仿真系统</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满足我校师范生技能训练的要求（含计算机室6间、书法室2间等公共实训室）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17</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普通话测试室</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幼儿教师口语</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测试用桌椅、计算机辅助测试设备</w:t>
            </w:r>
          </w:p>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监控设备、服务器、网关、录像机电视一体机、移动计算机、面试教具等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满足师生普通话水平测试需求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18</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教师资格面试考场</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幼儿园教育活动设计与指导、保教知识与能力</w:t>
            </w: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测试用桌椅、计算机辅助测试设备</w:t>
            </w:r>
          </w:p>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监控设备、服务器、网关、录像机电视一体机、移动计算机、面试教具等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满足茂名市教师资格面试需求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19</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多功能演播厅</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灯光音响等</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满足小型演出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w:t>
            </w:r>
          </w:p>
        </w:tc>
        <w:tc>
          <w:tcPr>
            <w:tcW w:w="1853" w:type="dxa"/>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教学阶梯室</w:t>
            </w:r>
          </w:p>
        </w:tc>
        <w:tc>
          <w:tcPr>
            <w:tcW w:w="708" w:type="dxa"/>
            <w:vAlign w:val="center"/>
          </w:tcPr>
          <w:p>
            <w:pPr>
              <w:widowControl/>
              <w:jc w:val="center"/>
              <w:rPr>
                <w:rFonts w:cs="宋体" w:asciiTheme="minorEastAsia" w:hAnsiTheme="minorEastAsia" w:eastAsiaTheme="minorEastAsia"/>
                <w:kern w:val="0"/>
                <w:szCs w:val="21"/>
              </w:rPr>
            </w:pPr>
          </w:p>
        </w:tc>
        <w:tc>
          <w:tcPr>
            <w:tcW w:w="2268" w:type="dxa"/>
            <w:vAlign w:val="center"/>
          </w:tcPr>
          <w:p>
            <w:pPr>
              <w:widowControl/>
              <w:jc w:val="center"/>
              <w:rPr>
                <w:rFonts w:cs="宋体" w:asciiTheme="minorEastAsia" w:hAnsiTheme="minorEastAsia" w:eastAsiaTheme="minorEastAsia"/>
                <w:kern w:val="0"/>
                <w:szCs w:val="21"/>
              </w:rPr>
            </w:pPr>
          </w:p>
        </w:tc>
        <w:tc>
          <w:tcPr>
            <w:tcW w:w="1737"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多媒体教学设备</w:t>
            </w:r>
          </w:p>
        </w:tc>
        <w:tc>
          <w:tcPr>
            <w:tcW w:w="2073" w:type="dxa"/>
            <w:vAlign w:val="center"/>
          </w:tcPr>
          <w:p>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用于学术讲座、理论课堂教学设计</w:t>
            </w:r>
          </w:p>
        </w:tc>
      </w:tr>
    </w:tbl>
    <w:p>
      <w:pPr>
        <w:spacing w:line="420" w:lineRule="exact"/>
        <w:rPr>
          <w:rFonts w:ascii="宋体" w:hAnsi="宋体"/>
          <w:position w:val="6"/>
        </w:rPr>
      </w:pPr>
    </w:p>
    <w:p>
      <w:pPr>
        <w:spacing w:line="420" w:lineRule="exact"/>
        <w:ind w:left="420"/>
        <w:jc w:val="center"/>
        <w:rPr>
          <w:rFonts w:ascii="宋体" w:hAnsi="宋体"/>
          <w:position w:val="6"/>
        </w:rPr>
      </w:pPr>
      <w:r>
        <w:rPr>
          <w:rFonts w:hint="eastAsia" w:ascii="宋体" w:hAnsi="宋体"/>
          <w:position w:val="6"/>
        </w:rPr>
        <w:t>校外实训基地一览表</w:t>
      </w:r>
    </w:p>
    <w:tbl>
      <w:tblPr>
        <w:tblStyle w:val="5"/>
        <w:tblW w:w="0" w:type="auto"/>
        <w:jc w:val="center"/>
        <w:tblLayout w:type="fixed"/>
        <w:tblCellMar>
          <w:top w:w="0" w:type="dxa"/>
          <w:left w:w="108" w:type="dxa"/>
          <w:bottom w:w="0" w:type="dxa"/>
          <w:right w:w="108" w:type="dxa"/>
        </w:tblCellMar>
      </w:tblPr>
      <w:tblGrid>
        <w:gridCol w:w="745"/>
        <w:gridCol w:w="5560"/>
        <w:gridCol w:w="2897"/>
      </w:tblGrid>
      <w:tr>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序号</w:t>
            </w:r>
          </w:p>
        </w:tc>
        <w:tc>
          <w:tcPr>
            <w:tcW w:w="5560" w:type="dxa"/>
            <w:tcBorders>
              <w:top w:val="single" w:color="auto" w:sz="2" w:space="0"/>
              <w:left w:val="single" w:color="auto" w:sz="2" w:space="0"/>
              <w:bottom w:val="single" w:color="auto" w:sz="2" w:space="0"/>
              <w:right w:val="single" w:color="auto" w:sz="2" w:space="0"/>
            </w:tcBorders>
            <w:vAlign w:val="center"/>
          </w:tcPr>
          <w:p>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名称/合作企业</w:t>
            </w:r>
          </w:p>
        </w:tc>
        <w:tc>
          <w:tcPr>
            <w:tcW w:w="2897" w:type="dxa"/>
            <w:tcBorders>
              <w:top w:val="single" w:color="auto" w:sz="2" w:space="0"/>
              <w:left w:val="single" w:color="auto" w:sz="2" w:space="0"/>
              <w:bottom w:val="single" w:color="auto" w:sz="2" w:space="0"/>
              <w:right w:val="single" w:color="auto" w:sz="12" w:space="0"/>
            </w:tcBorders>
            <w:vAlign w:val="center"/>
          </w:tcPr>
          <w:p>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主要实训内容</w:t>
            </w: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rPr>
                <w:rFonts w:asciiTheme="minorEastAsia" w:hAnsiTheme="minorEastAsia" w:eastAsiaTheme="minorEastAsia"/>
                <w:bCs/>
                <w:szCs w:val="21"/>
              </w:rPr>
            </w:pPr>
            <w:r>
              <w:rPr>
                <w:rFonts w:hint="eastAsia" w:asciiTheme="minorEastAsia" w:hAnsiTheme="minorEastAsia" w:eastAsiaTheme="minorEastAsia"/>
                <w:bCs/>
                <w:szCs w:val="21"/>
              </w:rPr>
              <w:t>1</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高州师范学院附属第一幼儿园（实习基地）</w:t>
            </w:r>
          </w:p>
        </w:tc>
        <w:tc>
          <w:tcPr>
            <w:tcW w:w="2897" w:type="dxa"/>
            <w:vMerge w:val="restart"/>
            <w:tcBorders>
              <w:top w:val="single" w:color="auto" w:sz="2" w:space="0"/>
              <w:left w:val="single" w:color="auto" w:sz="2" w:space="0"/>
              <w:right w:val="single" w:color="auto" w:sz="12" w:space="0"/>
            </w:tcBorders>
          </w:tcPr>
          <w:p>
            <w:pPr>
              <w:adjustRightInd w:val="0"/>
              <w:snapToGrid w:val="0"/>
              <w:jc w:val="left"/>
              <w:rPr>
                <w:rFonts w:cs="宋体" w:asciiTheme="minorEastAsia" w:hAnsiTheme="minorEastAsia" w:eastAsiaTheme="minorEastAsia"/>
                <w:kern w:val="0"/>
                <w:szCs w:val="21"/>
              </w:rPr>
            </w:pPr>
          </w:p>
          <w:p>
            <w:pPr>
              <w:adjustRightInd w:val="0"/>
              <w:snapToGrid w:val="0"/>
              <w:jc w:val="left"/>
              <w:rPr>
                <w:rFonts w:cs="宋体" w:asciiTheme="minorEastAsia" w:hAnsiTheme="minorEastAsia" w:eastAsiaTheme="minorEastAsia"/>
                <w:kern w:val="0"/>
                <w:szCs w:val="21"/>
              </w:rPr>
            </w:pPr>
          </w:p>
          <w:p>
            <w:pPr>
              <w:adjustRightInd w:val="0"/>
              <w:snapToGrid w:val="0"/>
              <w:jc w:val="left"/>
              <w:rPr>
                <w:rFonts w:cs="宋体" w:asciiTheme="minorEastAsia" w:hAnsiTheme="minorEastAsia" w:eastAsiaTheme="minorEastAsia"/>
                <w:kern w:val="0"/>
                <w:szCs w:val="21"/>
              </w:rPr>
            </w:pPr>
          </w:p>
          <w:p>
            <w:pPr>
              <w:adjustRightInd w:val="0"/>
              <w:snapToGrid w:val="0"/>
              <w:jc w:val="left"/>
              <w:rPr>
                <w:rFonts w:cs="宋体" w:asciiTheme="minorEastAsia" w:hAnsiTheme="minorEastAsia" w:eastAsiaTheme="minorEastAsia"/>
                <w:kern w:val="0"/>
                <w:szCs w:val="21"/>
              </w:rPr>
            </w:pPr>
          </w:p>
          <w:p>
            <w:pPr>
              <w:adjustRightInd w:val="0"/>
              <w:snapToGrid w:val="0"/>
              <w:jc w:val="left"/>
              <w:rPr>
                <w:rFonts w:cs="宋体" w:asciiTheme="minorEastAsia" w:hAnsiTheme="minorEastAsia" w:eastAsiaTheme="minorEastAsia"/>
                <w:kern w:val="0"/>
                <w:szCs w:val="21"/>
              </w:rPr>
            </w:pP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（1）通过实践，熟识幼儿园各门课程内容，了解幼儿园门课程的教学方法；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（2）通过实践，体验幼儿园课堂基本教学常规和班主任工作常规；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（3）通过实践，了解学前儿童的年龄特点和心理特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征；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（4）通过实践，进一步学会分析教材，学会备课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和上课；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（5）通过实践，培养学生进一步热爱幼儿、 </w:t>
            </w:r>
          </w:p>
          <w:p>
            <w:pPr>
              <w:adjustRightInd w:val="0"/>
              <w:snapToGrid w:val="0"/>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热爱教育工作、立志献身教育事业的专业思想。</w:t>
            </w:r>
          </w:p>
          <w:p>
            <w:pPr>
              <w:adjustRightInd w:val="0"/>
              <w:snapToGrid w:val="0"/>
              <w:jc w:val="left"/>
              <w:rPr>
                <w:rFonts w:cs="宋体" w:asciiTheme="minorEastAsia" w:hAnsiTheme="minorEastAsia" w:eastAsiaTheme="minorEastAsia"/>
                <w:kern w:val="0"/>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2</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新世纪学校（实习基地）</w:t>
            </w:r>
          </w:p>
        </w:tc>
        <w:tc>
          <w:tcPr>
            <w:tcW w:w="2897" w:type="dxa"/>
            <w:vMerge w:val="continue"/>
            <w:tcBorders>
              <w:left w:val="single" w:color="auto" w:sz="2" w:space="0"/>
              <w:right w:val="single" w:color="auto" w:sz="12" w:space="0"/>
            </w:tcBorders>
          </w:tcPr>
          <w:p>
            <w:pPr>
              <w:adjustRightInd w:val="0"/>
              <w:snapToGrid w:val="0"/>
              <w:jc w:val="left"/>
              <w:rPr>
                <w:rFonts w:cs="宋体" w:asciiTheme="minorEastAsia" w:hAnsiTheme="minorEastAsia" w:eastAsiaTheme="minorEastAsia"/>
                <w:kern w:val="0"/>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3</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茂名市第一幼儿园（实习基地）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4</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茂名市第二幼儿园（实习基地）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5</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广茂幼师附属中心幼儿园（实习基地）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6</w:t>
            </w:r>
          </w:p>
        </w:tc>
        <w:tc>
          <w:tcPr>
            <w:tcW w:w="5560" w:type="dxa"/>
            <w:tcBorders>
              <w:top w:val="single" w:color="auto" w:sz="2" w:space="0"/>
              <w:left w:val="single" w:color="auto" w:sz="2" w:space="0"/>
              <w:bottom w:val="single" w:color="auto" w:sz="12" w:space="0"/>
              <w:right w:val="single" w:color="auto" w:sz="2" w:space="0"/>
            </w:tcBorders>
            <w:vAlign w:val="center"/>
          </w:tcPr>
          <w:p>
            <w:pPr>
              <w:adjustRightInd w:val="0"/>
              <w:snapToGrid w:val="0"/>
              <w:jc w:val="center"/>
              <w:rPr>
                <w:rFonts w:cs="宋体" w:asciiTheme="minorEastAsia" w:hAnsiTheme="minorEastAsia" w:eastAsiaTheme="minorEastAsia"/>
                <w:szCs w:val="21"/>
              </w:rPr>
            </w:pPr>
            <w:r>
              <w:rPr>
                <w:rFonts w:hint="eastAsia" w:asciiTheme="minorEastAsia" w:hAnsiTheme="minorEastAsia" w:eastAsiaTheme="minorEastAsia"/>
                <w:szCs w:val="21"/>
              </w:rPr>
              <w:t>高州市第一幼儿园（实习基地）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7</w:t>
            </w:r>
          </w:p>
        </w:tc>
        <w:tc>
          <w:tcPr>
            <w:tcW w:w="5560" w:type="dxa"/>
            <w:tcBorders>
              <w:top w:val="single" w:color="auto" w:sz="2" w:space="0"/>
              <w:left w:val="single" w:color="auto" w:sz="2" w:space="0"/>
              <w:bottom w:val="single" w:color="auto" w:sz="12" w:space="0"/>
              <w:right w:val="single" w:color="auto" w:sz="2" w:space="0"/>
            </w:tcBorders>
            <w:vAlign w:val="center"/>
          </w:tcPr>
          <w:p>
            <w:pPr>
              <w:adjustRightInd w:val="0"/>
              <w:snapToGrid w:val="0"/>
              <w:jc w:val="center"/>
              <w:rPr>
                <w:rFonts w:asciiTheme="minorEastAsia" w:hAnsiTheme="minorEastAsia" w:eastAsiaTheme="minorEastAsia"/>
                <w:szCs w:val="21"/>
              </w:rPr>
            </w:pPr>
            <w:r>
              <w:rPr>
                <w:rFonts w:hint="eastAsia" w:asciiTheme="minorEastAsia" w:hAnsiTheme="minorEastAsia" w:eastAsiaTheme="minorEastAsia"/>
                <w:szCs w:val="21"/>
              </w:rPr>
              <w:t>高州市建委幼儿园（实习基地）</w:t>
            </w:r>
          </w:p>
        </w:tc>
        <w:tc>
          <w:tcPr>
            <w:tcW w:w="2897" w:type="dxa"/>
            <w:vMerge w:val="continue"/>
            <w:tcBorders>
              <w:left w:val="single" w:color="auto" w:sz="2" w:space="0"/>
              <w:right w:val="single" w:color="auto" w:sz="12" w:space="0"/>
            </w:tcBorders>
          </w:tcPr>
          <w:p>
            <w:pPr>
              <w:adjustRightInd w:val="0"/>
              <w:snapToGrid w:val="0"/>
              <w:jc w:val="left"/>
              <w:rPr>
                <w:rFonts w:cs="宋体" w:asciiTheme="minorEastAsia" w:hAnsiTheme="minorEastAsia" w:eastAsiaTheme="minorEastAsia"/>
                <w:kern w:val="0"/>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8</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高州市公交幼儿园（实习基地）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9</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高州市分界镇中心幼儿园（实习基地）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10</w:t>
            </w:r>
          </w:p>
        </w:tc>
        <w:tc>
          <w:tcPr>
            <w:tcW w:w="5560" w:type="dxa"/>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cs="宋体" w:asciiTheme="minorEastAsia" w:hAnsiTheme="minorEastAsia" w:eastAsiaTheme="minorEastAsia"/>
                <w:kern w:val="0"/>
                <w:szCs w:val="21"/>
              </w:rPr>
            </w:pPr>
            <w:r>
              <w:rPr>
                <w:rFonts w:hint="eastAsia" w:asciiTheme="minorEastAsia" w:hAnsiTheme="minorEastAsia" w:eastAsiaTheme="minorEastAsia"/>
                <w:szCs w:val="21"/>
              </w:rPr>
              <w:t>化州市辅元坊幼儿园（实习基地）</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11</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东莞塘厦水霖珊瑚幼儿园</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12</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东莞市谢岗金太阳幼儿园</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13</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东莞中堂健乐幼儿园</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14</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sz w:val="18"/>
                <w:szCs w:val="18"/>
              </w:rPr>
            </w:pPr>
            <w:r>
              <w:rPr>
                <w:rFonts w:hint="eastAsia" w:ascii="宋体" w:hAnsi="宋体" w:cs="宋体"/>
                <w:color w:val="000000"/>
                <w:kern w:val="0"/>
                <w:sz w:val="20"/>
                <w:szCs w:val="20"/>
              </w:rPr>
              <w:t>广州增城区欢乐幼儿园</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15</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sz w:val="18"/>
                <w:szCs w:val="18"/>
              </w:rPr>
            </w:pPr>
            <w:r>
              <w:rPr>
                <w:rFonts w:hint="eastAsia" w:ascii="宋体" w:hAnsi="宋体" w:cs="宋体"/>
                <w:color w:val="000000"/>
                <w:kern w:val="0"/>
                <w:sz w:val="20"/>
                <w:szCs w:val="20"/>
              </w:rPr>
              <w:t>广州天河区天丽幼儿园</w:t>
            </w:r>
          </w:p>
        </w:tc>
        <w:tc>
          <w:tcPr>
            <w:tcW w:w="2897" w:type="dxa"/>
            <w:vMerge w:val="continue"/>
            <w:tcBorders>
              <w:left w:val="single" w:color="auto" w:sz="2" w:space="0"/>
              <w:bottom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16</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东城贝安斯托育园</w:t>
            </w:r>
          </w:p>
        </w:tc>
        <w:tc>
          <w:tcPr>
            <w:tcW w:w="2897" w:type="dxa"/>
            <w:vMerge w:val="restart"/>
            <w:tcBorders>
              <w:top w:val="single" w:color="auto" w:sz="2" w:space="0"/>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p>
            <w:pPr>
              <w:adjustRightInd w:val="0"/>
              <w:snapToGrid w:val="0"/>
              <w:jc w:val="left"/>
              <w:rPr>
                <w:rFonts w:asciiTheme="minorEastAsia" w:hAnsiTheme="minorEastAsia" w:eastAsiaTheme="minorEastAsia"/>
                <w:szCs w:val="21"/>
              </w:rPr>
            </w:pPr>
            <w:r>
              <w:rPr>
                <w:rFonts w:hint="eastAsia" w:asciiTheme="minorEastAsia" w:hAnsiTheme="minorEastAsia" w:eastAsiaTheme="minorEastAsia"/>
                <w:szCs w:val="21"/>
              </w:rPr>
              <w:t>（1）通过实践，了解早教机构教育工作日常和教育体系与理念。</w:t>
            </w:r>
          </w:p>
          <w:p>
            <w:pPr>
              <w:adjustRightInd w:val="0"/>
              <w:snapToGrid w:val="0"/>
              <w:jc w:val="left"/>
              <w:rPr>
                <w:rFonts w:asciiTheme="minorEastAsia" w:hAnsiTheme="minorEastAsia" w:eastAsiaTheme="minorEastAsia"/>
                <w:szCs w:val="21"/>
              </w:rPr>
            </w:pPr>
            <w:r>
              <w:rPr>
                <w:rFonts w:hint="eastAsia" w:asciiTheme="minorEastAsia" w:hAnsiTheme="minorEastAsia" w:eastAsiaTheme="minorEastAsia"/>
                <w:szCs w:val="21"/>
              </w:rPr>
              <w:t>（2）通过实践，了解0-3岁幼儿心理和生理特征，并完成教学过程。</w:t>
            </w:r>
          </w:p>
          <w:p>
            <w:pPr>
              <w:adjustRightInd w:val="0"/>
              <w:snapToGrid w:val="0"/>
              <w:jc w:val="left"/>
              <w:rPr>
                <w:rFonts w:asciiTheme="minorEastAsia" w:hAnsiTheme="minorEastAsia" w:eastAsiaTheme="minorEastAsia"/>
                <w:szCs w:val="21"/>
              </w:rPr>
            </w:pPr>
            <w:r>
              <w:rPr>
                <w:rFonts w:hint="eastAsia" w:asciiTheme="minorEastAsia" w:hAnsiTheme="minorEastAsia" w:eastAsiaTheme="minorEastAsia"/>
                <w:szCs w:val="21"/>
              </w:rPr>
              <w:t>（3）通过实践，培养学生对教育事业的热爱，增强对婴幼儿的耐心，锻炼自己的意志。</w:t>
            </w: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17</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道窖优启儿童之家</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18</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国王的邀约托育机构</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19</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中山市市光之阳托育服务有限公司</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20</w:t>
            </w:r>
          </w:p>
        </w:tc>
        <w:tc>
          <w:tcPr>
            <w:tcW w:w="5560" w:type="dxa"/>
            <w:tcBorders>
              <w:top w:val="single" w:color="auto" w:sz="2" w:space="0"/>
              <w:left w:val="single" w:color="auto" w:sz="2" w:space="0"/>
              <w:bottom w:val="single" w:color="auto" w:sz="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中山市市光之阳美育托育服务有限公司</w:t>
            </w:r>
          </w:p>
        </w:tc>
        <w:tc>
          <w:tcPr>
            <w:tcW w:w="2897" w:type="dxa"/>
            <w:vMerge w:val="continue"/>
            <w:tcBorders>
              <w:left w:val="single" w:color="auto" w:sz="2" w:space="0"/>
              <w:right w:val="single" w:color="auto" w:sz="12" w:space="0"/>
            </w:tcBorders>
          </w:tcPr>
          <w:p>
            <w:pPr>
              <w:adjustRightInd w:val="0"/>
              <w:snapToGrid w:val="0"/>
              <w:jc w:val="left"/>
              <w:rPr>
                <w:rFonts w:asciiTheme="minorEastAsia" w:hAnsiTheme="minorEastAsia" w:eastAsiaTheme="minorEastAsia"/>
                <w:szCs w:val="21"/>
              </w:rPr>
            </w:pPr>
          </w:p>
        </w:tc>
      </w:tr>
      <w:tr>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21</w:t>
            </w:r>
          </w:p>
        </w:tc>
        <w:tc>
          <w:tcPr>
            <w:tcW w:w="5560" w:type="dxa"/>
            <w:tcBorders>
              <w:top w:val="single" w:color="auto" w:sz="2" w:space="0"/>
              <w:left w:val="single" w:color="auto" w:sz="2" w:space="0"/>
              <w:bottom w:val="single" w:color="auto" w:sz="12" w:space="0"/>
              <w:right w:val="single" w:color="auto" w:sz="2" w:space="0"/>
            </w:tcBorders>
            <w:vAlign w:val="center"/>
          </w:tcPr>
          <w:p>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壹号贝贝早教中心</w:t>
            </w:r>
          </w:p>
        </w:tc>
        <w:tc>
          <w:tcPr>
            <w:tcW w:w="2897" w:type="dxa"/>
            <w:vMerge w:val="continue"/>
            <w:tcBorders>
              <w:left w:val="single" w:color="auto" w:sz="2" w:space="0"/>
              <w:bottom w:val="single" w:color="auto" w:sz="12" w:space="0"/>
              <w:right w:val="single" w:color="auto" w:sz="12" w:space="0"/>
            </w:tcBorders>
          </w:tcPr>
          <w:p>
            <w:pPr>
              <w:adjustRightInd w:val="0"/>
              <w:snapToGrid w:val="0"/>
              <w:jc w:val="left"/>
              <w:rPr>
                <w:rFonts w:asciiTheme="minorEastAsia" w:hAnsiTheme="minorEastAsia" w:eastAsiaTheme="minorEastAsia"/>
                <w:szCs w:val="21"/>
              </w:rPr>
            </w:pPr>
          </w:p>
        </w:tc>
      </w:tr>
    </w:tbl>
    <w:p>
      <w:pPr>
        <w:spacing w:line="360" w:lineRule="auto"/>
        <w:ind w:firstLine="422" w:firstLineChars="200"/>
        <w:outlineLvl w:val="0"/>
        <w:rPr>
          <w:rStyle w:val="7"/>
          <w:rFonts w:ascii="宋体" w:hAnsi="宋体"/>
          <w:szCs w:val="21"/>
        </w:rPr>
      </w:pPr>
      <w:r>
        <w:rPr>
          <w:rStyle w:val="7"/>
          <w:rFonts w:hint="eastAsia" w:ascii="宋体" w:hAnsi="宋体"/>
          <w:szCs w:val="21"/>
        </w:rPr>
        <w:t>（三）教学资源</w:t>
      </w:r>
    </w:p>
    <w:p>
      <w:pPr>
        <w:spacing w:line="400" w:lineRule="exact"/>
        <w:ind w:firstLine="420"/>
        <w:rPr>
          <w:rStyle w:val="7"/>
          <w:rFonts w:ascii="宋体" w:hAnsi="宋体"/>
          <w:b w:val="0"/>
          <w:bCs w:val="0"/>
          <w:szCs w:val="21"/>
        </w:rPr>
      </w:pPr>
      <w:r>
        <w:rPr>
          <w:rStyle w:val="7"/>
          <w:rFonts w:hint="eastAsia" w:ascii="宋体" w:hAnsi="宋体"/>
          <w:b w:val="0"/>
          <w:bCs w:val="0"/>
          <w:szCs w:val="21"/>
        </w:rPr>
        <w:t xml:space="preserve">1.教材选用基本要求 </w:t>
      </w:r>
    </w:p>
    <w:p>
      <w:pPr>
        <w:spacing w:line="400" w:lineRule="exact"/>
        <w:ind w:firstLine="420"/>
        <w:rPr>
          <w:rStyle w:val="7"/>
          <w:rFonts w:ascii="宋体" w:hAnsi="宋体"/>
          <w:b w:val="0"/>
          <w:bCs w:val="0"/>
          <w:szCs w:val="21"/>
        </w:rPr>
      </w:pPr>
      <w:r>
        <w:rPr>
          <w:rStyle w:val="7"/>
          <w:rFonts w:hint="eastAsia" w:ascii="宋体" w:hAnsi="宋体"/>
          <w:b w:val="0"/>
          <w:bCs w:val="0"/>
          <w:szCs w:val="21"/>
        </w:rPr>
        <w:t>选用教材严格执行中央宣传部、国家教育部和省教育厅关于教材编写、出版、选用、认定的有关文</w:t>
      </w:r>
    </w:p>
    <w:p>
      <w:pPr>
        <w:spacing w:line="400" w:lineRule="exact"/>
        <w:rPr>
          <w:rStyle w:val="7"/>
          <w:rFonts w:ascii="宋体" w:hAnsi="宋体"/>
          <w:b w:val="0"/>
          <w:bCs w:val="0"/>
          <w:szCs w:val="21"/>
        </w:rPr>
      </w:pPr>
      <w:r>
        <w:rPr>
          <w:rStyle w:val="7"/>
          <w:rFonts w:hint="eastAsia" w:ascii="宋体" w:hAnsi="宋体"/>
          <w:b w:val="0"/>
          <w:bCs w:val="0"/>
          <w:szCs w:val="21"/>
        </w:rPr>
        <w:t>件规定，遵循关于《职业院校教材管理办法》和《普通高等学校教材管理办法》等文件精神。学校应制定《教材征订管理办法》《教材适应性评价管理办法》等指导性文件，每 3 年修订 1 次教材。鼓励优先选用国家级规划教材，并要求其教材内容、编排等具有较强的思想性、科学性、适用性和实时性，其中，国家级规划教材使用情况应达到 95%。</w:t>
      </w:r>
    </w:p>
    <w:p>
      <w:pPr>
        <w:spacing w:line="400" w:lineRule="exact"/>
        <w:ind w:firstLine="420" w:firstLineChars="200"/>
        <w:rPr>
          <w:rStyle w:val="7"/>
          <w:rFonts w:ascii="宋体" w:hAnsi="宋体"/>
          <w:b w:val="0"/>
          <w:bCs w:val="0"/>
          <w:szCs w:val="21"/>
        </w:rPr>
      </w:pPr>
      <w:r>
        <w:rPr>
          <w:rStyle w:val="7"/>
          <w:rFonts w:hint="eastAsia" w:ascii="宋体" w:hAnsi="宋体"/>
          <w:b w:val="0"/>
          <w:bCs w:val="0"/>
          <w:szCs w:val="21"/>
        </w:rPr>
        <w:t>2.图书文献配备基本要求</w:t>
      </w:r>
    </w:p>
    <w:p>
      <w:pPr>
        <w:spacing w:line="400" w:lineRule="exact"/>
        <w:ind w:firstLine="420"/>
        <w:rPr>
          <w:rStyle w:val="7"/>
          <w:rFonts w:ascii="宋体" w:hAnsi="宋体"/>
          <w:b w:val="0"/>
          <w:bCs w:val="0"/>
          <w:szCs w:val="21"/>
        </w:rPr>
      </w:pPr>
      <w:r>
        <w:rPr>
          <w:rStyle w:val="7"/>
          <w:rFonts w:hint="eastAsia" w:ascii="宋体" w:hAnsi="宋体"/>
          <w:b w:val="0"/>
          <w:bCs w:val="0"/>
          <w:szCs w:val="21"/>
        </w:rPr>
        <w:t>茂名校区图书馆4500平方米，高州校区图书馆4000平方米。茂名校区设有三个大型书库、书吧、自习室、学术报告厅、电子阅览室和期刊阅览室。资源建设方面，图书馆根据学校学科专业设置的要求，努力建设以师范特色为主，多学科协调发展的馆藏体系，馆藏图书共有51.5万册；电子图书10余万册；过刊2万册；现刊120种；报纸90种。面向全院师生开通了中国知网数据库、超星电子图书数据库等。并在图书馆一楼门厅放置了电子书阅读器供读者阅读下载超星电子图书。有足够数量的，能满足教师学习、教师专业教学研究和教学实施的图书库。图书馆采用网络自动化集成系统软件，于2013年投入运行并使用。它包括采访、编目、检索、流通、期刊管理、数据转换和系统管理七个子系统，提供网上数据库的检索、电子书、电子期刊、网络信息及计算机检索咨询、互联网服务。图书馆是学院学术文化信息中心，是发挥情报职能和利用信息的主阵地。图书馆采用“藏、阅、借”合一全开架的服务方式，为充分发挥现代化图书馆功能创造了必要的物质条件，同时是学院教学的第二课堂，是教师、学生自学深造的场所。</w:t>
      </w:r>
    </w:p>
    <w:p>
      <w:pPr>
        <w:pStyle w:val="14"/>
        <w:spacing w:line="400" w:lineRule="exact"/>
        <w:ind w:left="420" w:firstLine="0" w:firstLineChars="0"/>
        <w:rPr>
          <w:rStyle w:val="7"/>
          <w:rFonts w:ascii="宋体" w:hAnsi="宋体"/>
          <w:b w:val="0"/>
          <w:bCs w:val="0"/>
          <w:szCs w:val="21"/>
        </w:rPr>
      </w:pPr>
      <w:r>
        <w:rPr>
          <w:rStyle w:val="7"/>
          <w:rFonts w:hint="eastAsia" w:ascii="宋体" w:hAnsi="宋体"/>
          <w:b w:val="0"/>
          <w:bCs w:val="0"/>
          <w:szCs w:val="21"/>
        </w:rPr>
        <w:t>3.数字教学资源配置</w:t>
      </w:r>
    </w:p>
    <w:p>
      <w:pPr>
        <w:spacing w:line="400" w:lineRule="exact"/>
        <w:rPr>
          <w:rStyle w:val="7"/>
          <w:rFonts w:ascii="宋体" w:hAnsi="宋体"/>
          <w:b w:val="0"/>
          <w:bCs w:val="0"/>
          <w:szCs w:val="21"/>
        </w:rPr>
      </w:pPr>
      <w:r>
        <w:rPr>
          <w:rStyle w:val="7"/>
          <w:rFonts w:hint="eastAsia" w:ascii="宋体" w:hAnsi="宋体"/>
          <w:b w:val="0"/>
          <w:bCs w:val="0"/>
          <w:szCs w:val="21"/>
        </w:rPr>
        <w:t xml:space="preserve"> </w:t>
      </w:r>
      <w:r>
        <w:rPr>
          <w:rStyle w:val="7"/>
          <w:rFonts w:ascii="宋体" w:hAnsi="宋体"/>
          <w:b w:val="0"/>
          <w:bCs w:val="0"/>
          <w:szCs w:val="21"/>
        </w:rPr>
        <w:t xml:space="preserve">    </w:t>
      </w:r>
      <w:r>
        <w:rPr>
          <w:rStyle w:val="7"/>
          <w:rFonts w:hint="eastAsia" w:ascii="宋体" w:hAnsi="宋体"/>
          <w:b w:val="0"/>
          <w:bCs w:val="0"/>
          <w:szCs w:val="21"/>
        </w:rPr>
        <w:t>高职学校应建设、配备与学前教育专业有关的音视频素材、教学课件、数字化教学案例库、数字教材等专业教学资源库，逐步建设一批与学前教育专业相关的精品在线课程。另外还需根据实际需要建立数字化教学资源库，包括幼儿园教学活动、幼儿园教育教学优秀案例库、幼儿园教育活动及相关的技能竞赛等视频资源；学前教育专业文献、活动方案等文献资源，以满足学生个性化学习需求，提高学习效果。数字教学资源应种类丰富、形式多样、使用便捷、动态更新、满足教学。高职学校应建立虚拟的教育环境，借助计算机和网络技术对教学、科研、管理、技术服务、生活服务等信息进行收集、处理、整合、存储、传输和应用，使数字化的职业教学资源得到充分开发。学校应订购中国知网数据库等，方便学生查阅文献资料。学校应配置一定数量的电子图书，建立专门的电子阅览室并与相关企业单位签订协议共享数字教学资源。数字教学资源库应不断扩充和完善。</w:t>
      </w:r>
    </w:p>
    <w:p>
      <w:pPr>
        <w:numPr>
          <w:ilvl w:val="0"/>
          <w:numId w:val="5"/>
        </w:numPr>
        <w:spacing w:line="400" w:lineRule="exact"/>
        <w:ind w:firstLine="421"/>
        <w:rPr>
          <w:rFonts w:ascii="宋体" w:hAnsi="宋体"/>
          <w:b/>
          <w:szCs w:val="21"/>
        </w:rPr>
      </w:pPr>
      <w:r>
        <w:rPr>
          <w:rFonts w:hint="eastAsia" w:ascii="宋体" w:hAnsi="宋体"/>
          <w:b/>
          <w:szCs w:val="21"/>
        </w:rPr>
        <w:t>质量保障</w:t>
      </w:r>
    </w:p>
    <w:p>
      <w:pPr>
        <w:spacing w:line="360" w:lineRule="auto"/>
        <w:ind w:firstLine="417" w:firstLineChars="198"/>
        <w:rPr>
          <w:rFonts w:ascii="宋体" w:hAnsi="宋体" w:cs="宋体"/>
          <w:szCs w:val="21"/>
        </w:rPr>
      </w:pPr>
      <w:r>
        <w:rPr>
          <w:rFonts w:hint="eastAsia" w:ascii="宋体" w:hAnsi="宋体"/>
          <w:b/>
          <w:szCs w:val="21"/>
        </w:rPr>
        <w:t xml:space="preserve">  </w:t>
      </w:r>
      <w:r>
        <w:rPr>
          <w:rFonts w:hint="eastAsia" w:ascii="宋体" w:hAnsi="宋体" w:cs="宋体"/>
          <w:szCs w:val="21"/>
        </w:rPr>
        <w:t>（一）师资队伍</w:t>
      </w:r>
    </w:p>
    <w:p>
      <w:pPr>
        <w:spacing w:line="360" w:lineRule="auto"/>
        <w:ind w:firstLine="415" w:firstLineChars="198"/>
        <w:rPr>
          <w:rFonts w:ascii="宋体" w:hAnsi="宋体" w:cs="宋体"/>
          <w:szCs w:val="21"/>
        </w:rPr>
      </w:pPr>
      <w:r>
        <w:rPr>
          <w:rFonts w:hint="eastAsia" w:ascii="宋体" w:hAnsi="宋体" w:cs="宋体"/>
          <w:szCs w:val="21"/>
        </w:rPr>
        <w:t>1. 本专业</w:t>
      </w:r>
      <w:r>
        <w:rPr>
          <w:rFonts w:hint="eastAsia" w:ascii="宋体" w:hAnsi="宋体" w:cs="宋体"/>
          <w:kern w:val="24"/>
          <w:szCs w:val="21"/>
        </w:rPr>
        <w:t>现有专业教师共计84名（含兼职），中高级职称以上教师43人，占比51.2%；具有硕博士研究生以上学历55人，占比65%；双师型教师43人，占比51.2%；</w:t>
      </w:r>
      <w:r>
        <w:rPr>
          <w:rFonts w:hint="eastAsia" w:ascii="宋体" w:hAnsi="宋体" w:cs="宋体"/>
          <w:szCs w:val="21"/>
        </w:rPr>
        <w:t>教师专业能够满足本专业教学和发展的需求，</w:t>
      </w:r>
      <w:r>
        <w:rPr>
          <w:rFonts w:hint="eastAsia" w:ascii="宋体" w:hAnsi="宋体" w:cs="宋体"/>
          <w:kern w:val="24"/>
          <w:szCs w:val="21"/>
        </w:rPr>
        <w:t>包括学前教育专业类（含教育学、心理学、卫生保健等）和艺术专业类（含音乐、舞蹈、美术等）两种</w:t>
      </w:r>
      <w:r>
        <w:rPr>
          <w:rFonts w:hint="eastAsia" w:ascii="宋体" w:hAnsi="宋体" w:cs="宋体"/>
          <w:szCs w:val="21"/>
        </w:rPr>
        <w:t>，师生比例结构合理、教师年龄及职称结构梯队完善。专任教师具有高尚的师德，爱岗敬业，遵纪守法，能够承担专业课程的教学任务，所承担的教学工作量占教学总量的2/3左右。</w:t>
      </w:r>
    </w:p>
    <w:p>
      <w:pPr>
        <w:spacing w:line="360" w:lineRule="auto"/>
        <w:ind w:firstLine="415" w:firstLineChars="198"/>
        <w:rPr>
          <w:rFonts w:ascii="宋体" w:hAnsi="宋体" w:cs="宋体"/>
          <w:szCs w:val="21"/>
        </w:rPr>
      </w:pPr>
      <w:r>
        <w:rPr>
          <w:rFonts w:hint="eastAsia" w:ascii="宋体" w:hAnsi="宋体" w:cs="宋体"/>
          <w:szCs w:val="21"/>
        </w:rPr>
        <w:t>2.专业带头人具有高级职称，具备一线教学实践工作经历，能够较好地把握国内外学前教育行业动态以及专业发展方向；教学设计、专业研究能力强，能牵头组织开展专业建设及教学科研工作，在本区域和本领域内有一定的专业影响力。</w:t>
      </w:r>
    </w:p>
    <w:p>
      <w:pPr>
        <w:spacing w:line="360" w:lineRule="auto"/>
        <w:ind w:firstLine="415" w:firstLineChars="198"/>
        <w:rPr>
          <w:rFonts w:ascii="宋体" w:hAnsi="宋体" w:cs="宋体"/>
          <w:kern w:val="24"/>
          <w:szCs w:val="21"/>
        </w:rPr>
      </w:pPr>
      <w:r>
        <w:rPr>
          <w:rFonts w:hint="eastAsia" w:ascii="宋体" w:hAnsi="宋体" w:cs="宋体"/>
          <w:szCs w:val="21"/>
        </w:rPr>
        <w:t>3.兼职教师主要由当地教育管理实践经验丰富的高级教师组成，具有丰富的教育管理水平，与校内教师合作形成教学实践指导的“双导师”体系。兼职教师具备良好的思想政治素质、职业道德，</w:t>
      </w:r>
      <w:r>
        <w:rPr>
          <w:rFonts w:hint="eastAsia" w:ascii="宋体" w:hAnsi="宋体" w:cs="宋体"/>
          <w:kern w:val="24"/>
          <w:szCs w:val="21"/>
        </w:rPr>
        <w:t>具有丰富的幼儿园保教经验。主要承担专题讲座或讲学，并对教育观摩、教育见习和岗位实践等校外实训活动给予指导。</w:t>
      </w:r>
    </w:p>
    <w:p>
      <w:pPr>
        <w:spacing w:line="360" w:lineRule="auto"/>
        <w:ind w:firstLine="415" w:firstLineChars="198"/>
        <w:rPr>
          <w:rFonts w:ascii="宋体" w:hAnsi="宋体" w:cs="宋体"/>
          <w:szCs w:val="21"/>
        </w:rPr>
      </w:pPr>
      <w:r>
        <w:rPr>
          <w:rFonts w:hint="eastAsia" w:ascii="宋体" w:hAnsi="宋体" w:cs="宋体"/>
          <w:szCs w:val="21"/>
        </w:rPr>
        <w:t>（二）教学设施</w:t>
      </w:r>
    </w:p>
    <w:p>
      <w:pPr>
        <w:spacing w:line="500" w:lineRule="exact"/>
        <w:ind w:firstLine="420" w:firstLineChars="200"/>
        <w:rPr>
          <w:rFonts w:ascii="宋体" w:hAnsi="宋体" w:cs="宋体"/>
          <w:bCs/>
          <w:szCs w:val="21"/>
        </w:rPr>
      </w:pPr>
      <w:r>
        <w:rPr>
          <w:rFonts w:hint="eastAsia" w:ascii="宋体" w:hAnsi="宋体" w:cs="宋体"/>
          <w:bCs/>
          <w:szCs w:val="21"/>
        </w:rPr>
        <w:t>1.专业教室</w:t>
      </w:r>
    </w:p>
    <w:p>
      <w:pPr>
        <w:spacing w:line="500" w:lineRule="exact"/>
        <w:ind w:firstLine="420" w:firstLineChars="200"/>
        <w:rPr>
          <w:rFonts w:ascii="宋体" w:hAnsi="宋体" w:cs="宋体"/>
          <w:bCs/>
          <w:szCs w:val="21"/>
        </w:rPr>
      </w:pPr>
      <w:r>
        <w:rPr>
          <w:rFonts w:hint="eastAsia" w:ascii="宋体" w:hAnsi="宋体" w:cs="宋体"/>
          <w:bCs/>
          <w:szCs w:val="21"/>
        </w:rPr>
        <w:t>专业教室配备足够的</w:t>
      </w:r>
      <w:r>
        <w:rPr>
          <w:rFonts w:hint="eastAsia" w:ascii="宋体" w:hAnsi="宋体" w:cs="宋体"/>
          <w:szCs w:val="21"/>
        </w:rPr>
        <w:t>电源、光照、温控、课桌椅、</w:t>
      </w:r>
      <w:r>
        <w:rPr>
          <w:rFonts w:hint="eastAsia" w:ascii="宋体" w:hAnsi="宋体" w:cs="宋体"/>
          <w:bCs/>
          <w:szCs w:val="21"/>
        </w:rPr>
        <w:t>黑板、多媒体计算机、投影设备、音响设备，互联网接入或Wi-Fi环境，并实施网络安全防护措施；安装应急照明装置并保持良好状态，符合紧急疏散要求，标志明显，保持逃生通道畅通无阻。</w:t>
      </w:r>
    </w:p>
    <w:p>
      <w:pPr>
        <w:spacing w:line="500" w:lineRule="exact"/>
        <w:ind w:firstLine="420" w:firstLineChars="200"/>
        <w:rPr>
          <w:rFonts w:ascii="宋体" w:hAnsi="宋体" w:cs="宋体"/>
          <w:bCs/>
          <w:szCs w:val="21"/>
        </w:rPr>
      </w:pPr>
      <w:r>
        <w:rPr>
          <w:rFonts w:hint="eastAsia" w:ascii="宋体" w:hAnsi="宋体" w:cs="宋体"/>
          <w:bCs/>
          <w:szCs w:val="21"/>
        </w:rPr>
        <w:t>2.校内实训室</w:t>
      </w:r>
    </w:p>
    <w:p>
      <w:pPr>
        <w:spacing w:line="500" w:lineRule="exact"/>
        <w:ind w:firstLine="420" w:firstLineChars="200"/>
        <w:rPr>
          <w:rFonts w:ascii="宋体" w:hAnsi="宋体" w:cs="宋体"/>
          <w:bCs/>
          <w:szCs w:val="21"/>
        </w:rPr>
      </w:pPr>
      <w:r>
        <w:rPr>
          <w:rFonts w:hint="eastAsia" w:ascii="宋体" w:hAnsi="宋体" w:cs="宋体"/>
          <w:bCs/>
          <w:szCs w:val="21"/>
        </w:rPr>
        <w:t>现目前有奥尔夫音乐室、</w:t>
      </w:r>
      <w:r>
        <w:rPr>
          <w:rFonts w:hint="eastAsia" w:ascii="宋体" w:hAnsi="宋体" w:cs="宋体"/>
          <w:szCs w:val="21"/>
        </w:rPr>
        <w:t>数码钢琴室、</w:t>
      </w:r>
      <w:r>
        <w:rPr>
          <w:rFonts w:hint="eastAsia" w:ascii="宋体" w:hAnsi="宋体" w:cs="宋体"/>
          <w:bCs/>
          <w:szCs w:val="21"/>
        </w:rPr>
        <w:t>蒙台梭利实训室、婴幼儿卫生与保健实训室、婴幼儿心理实训室、幼儿游戏实训室、美术手工实训室</w:t>
      </w:r>
      <w:r>
        <w:rPr>
          <w:rFonts w:hint="eastAsia" w:ascii="宋体" w:hAnsi="宋体" w:cs="宋体"/>
          <w:szCs w:val="21"/>
        </w:rPr>
        <w:t>、舞蹈室、音乐综合室、美术手工室、小型剧场、科学实验室、心理健康中心及微格教室等校内实训室</w:t>
      </w:r>
      <w:r>
        <w:rPr>
          <w:rFonts w:hint="eastAsia" w:ascii="宋体" w:hAnsi="宋体" w:cs="宋体"/>
          <w:bCs/>
          <w:szCs w:val="21"/>
        </w:rPr>
        <w:t>46间，钢琴室160间，相关配套设施设备价值637万余元，完全满足本专业教育教学需求。</w:t>
      </w:r>
    </w:p>
    <w:p>
      <w:pPr>
        <w:spacing w:line="500" w:lineRule="exact"/>
        <w:ind w:firstLine="420" w:firstLineChars="200"/>
        <w:rPr>
          <w:rFonts w:ascii="宋体" w:hAnsi="宋体" w:cs="宋体"/>
          <w:bCs/>
          <w:szCs w:val="21"/>
        </w:rPr>
      </w:pPr>
      <w:r>
        <w:rPr>
          <w:rFonts w:hint="eastAsia" w:ascii="宋体" w:hAnsi="宋体" w:cs="宋体"/>
          <w:bCs/>
          <w:szCs w:val="21"/>
        </w:rPr>
        <w:t>3.校外实训实习基地</w:t>
      </w:r>
    </w:p>
    <w:p>
      <w:pPr>
        <w:spacing w:line="360" w:lineRule="auto"/>
        <w:ind w:firstLine="415" w:firstLineChars="198"/>
        <w:rPr>
          <w:rFonts w:ascii="宋体" w:hAnsi="宋体" w:cs="宋体"/>
          <w:bCs/>
          <w:szCs w:val="21"/>
        </w:rPr>
      </w:pPr>
      <w:r>
        <w:rPr>
          <w:rFonts w:hint="eastAsia" w:ascii="宋体" w:hAnsi="宋体" w:cs="宋体"/>
          <w:szCs w:val="21"/>
        </w:rPr>
        <w:t>选择办学条件规范、师资力量较强的幼儿园和教育机构作为校外实训基地。</w:t>
      </w:r>
      <w:r>
        <w:rPr>
          <w:rFonts w:hint="eastAsia" w:ascii="宋体" w:hAnsi="宋体" w:cs="宋体"/>
          <w:bCs/>
          <w:szCs w:val="21"/>
        </w:rPr>
        <w:t>现有稳定的校外战略实训基地100余所；能够开展学前教育活动策划与组织等实训活动；能提供学前教育等相关实习岗位，能涵盖当前相关专业发展的培养环境，可接纳一定规模的学生实习；能够配备相应数量的指导教师对学生实习进行指导和管理；有较完善的保证实习生日常工作、 学习、生活的规章制度。</w:t>
      </w:r>
    </w:p>
    <w:p>
      <w:pPr>
        <w:spacing w:line="500" w:lineRule="exact"/>
        <w:ind w:firstLine="420" w:firstLineChars="200"/>
        <w:rPr>
          <w:rFonts w:ascii="宋体" w:hAnsi="宋体" w:cs="宋体"/>
          <w:bCs/>
          <w:szCs w:val="21"/>
        </w:rPr>
      </w:pPr>
      <w:r>
        <w:rPr>
          <w:rFonts w:hint="eastAsia" w:ascii="宋体" w:hAnsi="宋体" w:cs="宋体"/>
          <w:bCs/>
          <w:szCs w:val="21"/>
        </w:rPr>
        <w:t>4.信息化教学</w:t>
      </w:r>
    </w:p>
    <w:p>
      <w:pPr>
        <w:spacing w:line="500" w:lineRule="exact"/>
        <w:ind w:firstLine="420" w:firstLineChars="200"/>
        <w:rPr>
          <w:rFonts w:ascii="宋体" w:hAnsi="宋体" w:cs="宋体"/>
          <w:bCs/>
          <w:szCs w:val="21"/>
        </w:rPr>
      </w:pPr>
      <w:r>
        <w:rPr>
          <w:rFonts w:hint="eastAsia" w:ascii="宋体" w:hAnsi="宋体" w:cs="宋体"/>
          <w:bCs/>
          <w:szCs w:val="21"/>
        </w:rPr>
        <w:t>学校具备</w:t>
      </w:r>
      <w:r>
        <w:rPr>
          <w:rFonts w:hint="eastAsia" w:ascii="宋体" w:hAnsi="宋体" w:cs="宋体"/>
          <w:szCs w:val="21"/>
        </w:rPr>
        <w:t>数字化的教学网络服务平台</w:t>
      </w:r>
      <w:r>
        <w:rPr>
          <w:rFonts w:hint="eastAsia" w:ascii="宋体" w:hAnsi="宋体" w:cs="宋体"/>
          <w:bCs/>
          <w:szCs w:val="21"/>
        </w:rPr>
        <w:t>、</w:t>
      </w:r>
      <w:r>
        <w:rPr>
          <w:rFonts w:hint="eastAsia" w:ascii="宋体" w:hAnsi="宋体" w:cs="宋体"/>
          <w:szCs w:val="21"/>
        </w:rPr>
        <w:t>方便学生利用课程资源自主学习，实现网上辅导、答疑的信息化教学条件</w:t>
      </w:r>
      <w:r>
        <w:rPr>
          <w:rFonts w:hint="eastAsia" w:ascii="宋体" w:hAnsi="宋体" w:cs="宋体"/>
          <w:bCs/>
          <w:szCs w:val="21"/>
        </w:rPr>
        <w:t>；鼓励教师开发并利用信息化教学资源、教学平台、创新教学方法，引导学生利用信息化教学条件自主学习提升教学效果。</w:t>
      </w:r>
    </w:p>
    <w:p>
      <w:pPr>
        <w:spacing w:line="360" w:lineRule="auto"/>
        <w:rPr>
          <w:rFonts w:ascii="宋体" w:hAnsi="宋体" w:cs="宋体"/>
          <w:szCs w:val="21"/>
        </w:rPr>
      </w:pPr>
    </w:p>
    <w:p>
      <w:pPr>
        <w:spacing w:line="360" w:lineRule="auto"/>
        <w:ind w:firstLine="415" w:firstLineChars="198"/>
        <w:rPr>
          <w:rFonts w:ascii="宋体" w:hAnsi="宋体" w:cs="宋体"/>
          <w:szCs w:val="21"/>
        </w:rPr>
      </w:pPr>
      <w:r>
        <w:rPr>
          <w:rFonts w:hint="eastAsia" w:ascii="宋体" w:hAnsi="宋体" w:cs="宋体"/>
          <w:szCs w:val="21"/>
        </w:rPr>
        <w:t>（三）教学方法</w:t>
      </w:r>
    </w:p>
    <w:p>
      <w:pPr>
        <w:spacing w:line="500" w:lineRule="exact"/>
        <w:ind w:firstLine="420" w:firstLineChars="200"/>
        <w:rPr>
          <w:rFonts w:ascii="宋体" w:hAnsi="宋体" w:cs="宋体"/>
          <w:bCs/>
          <w:szCs w:val="21"/>
        </w:rPr>
      </w:pPr>
      <w:r>
        <w:rPr>
          <w:rFonts w:hint="eastAsia" w:ascii="宋体" w:hAnsi="宋体" w:cs="宋体"/>
          <w:szCs w:val="21"/>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r>
        <w:rPr>
          <w:rFonts w:hint="eastAsia" w:ascii="宋体" w:hAnsi="宋体" w:cs="宋体"/>
          <w:bCs/>
          <w:szCs w:val="21"/>
        </w:rPr>
        <w:t>学前教育课程体系的设计注重实践技能。在保证学生专业理论知识扎实的基础上，加大职业技能和职业素养的培养力度，强化学生技能实训项目。充分利用校内实训室和校外幼儿园实习基地的资源，为学生提供多维度的教育实践机会。</w:t>
      </w:r>
    </w:p>
    <w:p>
      <w:pPr>
        <w:spacing w:line="360" w:lineRule="auto"/>
        <w:ind w:firstLine="415" w:firstLineChars="198"/>
        <w:rPr>
          <w:rFonts w:ascii="宋体" w:hAnsi="宋体" w:cs="宋体"/>
          <w:szCs w:val="21"/>
        </w:rPr>
      </w:pPr>
    </w:p>
    <w:p>
      <w:pPr>
        <w:spacing w:line="360" w:lineRule="auto"/>
        <w:ind w:firstLine="415" w:firstLineChars="198"/>
        <w:rPr>
          <w:rFonts w:ascii="宋体" w:hAnsi="宋体" w:cs="宋体"/>
          <w:szCs w:val="21"/>
        </w:rPr>
      </w:pPr>
      <w:r>
        <w:rPr>
          <w:rFonts w:hint="eastAsia" w:ascii="宋体" w:hAnsi="宋体" w:cs="宋体"/>
          <w:szCs w:val="21"/>
        </w:rPr>
        <w:t>（四）学习评价</w:t>
      </w:r>
    </w:p>
    <w:p>
      <w:pPr>
        <w:spacing w:line="360" w:lineRule="auto"/>
        <w:ind w:firstLine="415" w:firstLineChars="198"/>
        <w:rPr>
          <w:rFonts w:ascii="宋体" w:hAnsi="宋体" w:cs="宋体"/>
          <w:szCs w:val="21"/>
        </w:rPr>
      </w:pPr>
      <w:r>
        <w:rPr>
          <w:rFonts w:hint="eastAsia" w:ascii="宋体" w:hAnsi="宋体" w:cs="宋体"/>
          <w:szCs w:val="21"/>
        </w:rPr>
        <w:t>本专业通过建设学习质量评价体系，实行多元评价。结合人才培养规格的要求，与课堂教学、实习实训、教学方法、教师素质等相结合，有效开展学习评价，从而达到教、学、评一体化。</w:t>
      </w:r>
    </w:p>
    <w:p>
      <w:pPr>
        <w:spacing w:line="360" w:lineRule="auto"/>
        <w:ind w:firstLine="415" w:firstLineChars="198"/>
        <w:rPr>
          <w:rFonts w:ascii="宋体" w:hAnsi="宋体" w:cs="宋体"/>
          <w:szCs w:val="21"/>
        </w:rPr>
      </w:pPr>
      <w:r>
        <w:rPr>
          <w:rFonts w:hint="eastAsia" w:ascii="宋体" w:hAnsi="宋体" w:cs="宋体"/>
          <w:szCs w:val="21"/>
        </w:rPr>
        <w:t>1.丰富评价内容，制定个性化评价标准，全面反映学生发展状况。</w:t>
      </w:r>
    </w:p>
    <w:p>
      <w:pPr>
        <w:spacing w:line="360" w:lineRule="auto"/>
        <w:ind w:firstLine="415" w:firstLineChars="198"/>
        <w:rPr>
          <w:rFonts w:ascii="宋体" w:hAnsi="宋体" w:cs="宋体"/>
          <w:szCs w:val="21"/>
        </w:rPr>
      </w:pPr>
      <w:r>
        <w:rPr>
          <w:rFonts w:hint="eastAsia" w:ascii="宋体" w:hAnsi="宋体" w:cs="宋体"/>
          <w:szCs w:val="21"/>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pPr>
        <w:spacing w:line="360" w:lineRule="auto"/>
        <w:ind w:firstLine="415" w:firstLineChars="198"/>
        <w:rPr>
          <w:rFonts w:ascii="宋体" w:hAnsi="宋体" w:cs="宋体"/>
          <w:szCs w:val="21"/>
        </w:rPr>
      </w:pPr>
      <w:r>
        <w:rPr>
          <w:rFonts w:hint="eastAsia" w:ascii="宋体" w:hAnsi="宋体" w:cs="宋体"/>
          <w:szCs w:val="21"/>
        </w:rPr>
        <w:t>2、注重学生互评和自评的作用，形成多元化评价主体</w:t>
      </w:r>
    </w:p>
    <w:p>
      <w:pPr>
        <w:spacing w:line="360" w:lineRule="auto"/>
        <w:ind w:firstLine="415" w:firstLineChars="198"/>
        <w:rPr>
          <w:rFonts w:ascii="宋体" w:hAnsi="宋体" w:cs="宋体"/>
          <w:szCs w:val="21"/>
        </w:rPr>
      </w:pPr>
      <w:r>
        <w:rPr>
          <w:rFonts w:hint="eastAsia" w:ascii="宋体" w:hAnsi="宋体" w:cs="宋体"/>
          <w:szCs w:val="21"/>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pPr>
        <w:spacing w:line="360" w:lineRule="auto"/>
        <w:ind w:firstLine="415" w:firstLineChars="198"/>
        <w:rPr>
          <w:rFonts w:ascii="宋体" w:hAnsi="宋体" w:cs="宋体"/>
          <w:szCs w:val="21"/>
        </w:rPr>
      </w:pPr>
      <w:r>
        <w:rPr>
          <w:rFonts w:hint="eastAsia" w:ascii="宋体" w:hAnsi="宋体" w:cs="宋体"/>
          <w:szCs w:val="21"/>
        </w:rPr>
        <w:t>3、实施第三方评价</w:t>
      </w:r>
    </w:p>
    <w:p>
      <w:pPr>
        <w:spacing w:line="400" w:lineRule="exact"/>
        <w:ind w:firstLine="421"/>
        <w:rPr>
          <w:rFonts w:ascii="宋体" w:hAnsi="宋体" w:cs="宋体"/>
          <w:bCs/>
          <w:szCs w:val="21"/>
        </w:rPr>
      </w:pPr>
      <w:r>
        <w:rPr>
          <w:rFonts w:hint="eastAsia" w:ascii="宋体" w:hAnsi="宋体" w:cs="宋体"/>
          <w:szCs w:val="21"/>
        </w:rPr>
        <w:t>建立并实施学校、幼儿园、学生、家长的多方评价制度，评价主体还可以吸纳社区、专家学者等更多主体，从而使评价结果跟家科学、合理、客观。比如，依托幼儿园、教育机构等第三方</w:t>
      </w:r>
      <w:r>
        <w:rPr>
          <w:rFonts w:hint="eastAsia" w:ascii="宋体" w:hAnsi="宋体" w:cs="宋体"/>
          <w:bCs/>
          <w:szCs w:val="21"/>
        </w:rPr>
        <w:t>机构的行业职业岗位标准为参考依据，以实习指导教师评价意见为主要参照，形成学校与行业共同参与学生实习环节的评价机制。成立由幼儿园指导教师、专业教师和班主任组成的考核组，对学生在实习期间的劳动纪律、工作态度、团队合作精神、人际沟通能力、学习能力、专业技能和任务完成等方面的情况进行考核评价，评定等级为优秀、良好、中等、合格、不合格等。</w:t>
      </w:r>
    </w:p>
    <w:p>
      <w:pPr>
        <w:spacing w:line="400" w:lineRule="exact"/>
        <w:ind w:firstLine="421"/>
        <w:rPr>
          <w:rFonts w:ascii="宋体" w:hAnsi="宋体" w:cs="宋体"/>
          <w:bCs/>
          <w:szCs w:val="21"/>
        </w:rPr>
      </w:pPr>
    </w:p>
    <w:p>
      <w:pPr>
        <w:spacing w:line="400" w:lineRule="exact"/>
        <w:ind w:firstLine="421"/>
        <w:rPr>
          <w:rFonts w:ascii="宋体" w:hAnsi="宋体" w:cs="宋体"/>
          <w:szCs w:val="21"/>
        </w:rPr>
      </w:pPr>
      <w:r>
        <w:rPr>
          <w:rFonts w:hint="eastAsia" w:ascii="宋体" w:hAnsi="宋体" w:cs="宋体"/>
          <w:szCs w:val="21"/>
        </w:rPr>
        <w:t>（五）、“学分替换”制改革</w:t>
      </w:r>
    </w:p>
    <w:p>
      <w:pPr>
        <w:spacing w:line="400" w:lineRule="exact"/>
        <w:ind w:firstLine="421"/>
        <w:rPr>
          <w:rFonts w:ascii="宋体" w:hAnsi="宋体" w:cs="宋体"/>
          <w:szCs w:val="21"/>
        </w:rPr>
      </w:pPr>
      <w:r>
        <w:rPr>
          <w:rFonts w:hint="eastAsia" w:ascii="宋体" w:hAnsi="宋体" w:cs="宋体"/>
          <w:szCs w:val="21"/>
        </w:rPr>
        <w:t>1、“学分替换”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pPr>
        <w:spacing w:line="400" w:lineRule="exact"/>
        <w:ind w:firstLine="421"/>
        <w:rPr>
          <w:rFonts w:ascii="宋体" w:hAnsi="宋体" w:cs="宋体"/>
          <w:szCs w:val="21"/>
        </w:rPr>
      </w:pPr>
      <w:r>
        <w:rPr>
          <w:rFonts w:hint="eastAsia" w:ascii="宋体" w:hAnsi="宋体" w:cs="宋体"/>
          <w:szCs w:val="21"/>
        </w:rPr>
        <w:t>学分替换规则如下表所示：</w:t>
      </w:r>
    </w:p>
    <w:p>
      <w:pPr>
        <w:spacing w:line="400" w:lineRule="exact"/>
        <w:ind w:firstLine="421"/>
        <w:rPr>
          <w:rFonts w:ascii="宋体" w:hAnsi="宋体" w:cs="宋体"/>
          <w:szCs w:val="21"/>
        </w:rPr>
      </w:pPr>
    </w:p>
    <w:p>
      <w:pPr>
        <w:spacing w:line="400" w:lineRule="exact"/>
        <w:ind w:firstLine="421"/>
        <w:rPr>
          <w:rFonts w:ascii="宋体" w:hAnsi="宋体" w:cs="宋体"/>
          <w:szCs w:val="21"/>
        </w:rPr>
      </w:pPr>
      <w:r>
        <w:rPr>
          <w:rFonts w:hint="eastAsia" w:ascii="宋体" w:hAnsi="宋体" w:cs="宋体"/>
          <w:szCs w:val="21"/>
        </w:rPr>
        <w:t>（例如）</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pPr>
              <w:spacing w:line="360" w:lineRule="auto"/>
              <w:jc w:val="center"/>
              <w:rPr>
                <w:rFonts w:ascii="宋体" w:hAnsi="宋体" w:cs="宋体"/>
                <w:szCs w:val="21"/>
              </w:rPr>
            </w:pPr>
            <w:r>
              <w:rPr>
                <w:rFonts w:hint="eastAsia" w:ascii="宋体" w:hAnsi="宋体" w:cs="宋体"/>
                <w:szCs w:val="21"/>
              </w:rPr>
              <w:t>类别</w:t>
            </w:r>
          </w:p>
        </w:tc>
        <w:tc>
          <w:tcPr>
            <w:tcW w:w="6258" w:type="dxa"/>
          </w:tcPr>
          <w:p>
            <w:pPr>
              <w:spacing w:line="360" w:lineRule="auto"/>
              <w:jc w:val="center"/>
              <w:rPr>
                <w:rFonts w:ascii="宋体" w:hAnsi="宋体" w:cs="宋体"/>
                <w:szCs w:val="21"/>
              </w:rPr>
            </w:pPr>
            <w:r>
              <w:rPr>
                <w:rFonts w:hint="eastAsia" w:ascii="宋体" w:hAnsi="宋体" w:cs="宋体"/>
                <w:szCs w:val="21"/>
              </w:rPr>
              <w:t>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pPr>
              <w:rPr>
                <w:rFonts w:ascii="宋体" w:hAnsi="宋体" w:cs="宋体"/>
                <w:szCs w:val="21"/>
              </w:rPr>
            </w:pPr>
            <w:r>
              <w:rPr>
                <w:rFonts w:hint="eastAsia" w:ascii="宋体" w:hAnsi="宋体" w:cs="宋体"/>
                <w:szCs w:val="21"/>
              </w:rPr>
              <w:t>技能竞赛类</w:t>
            </w:r>
          </w:p>
        </w:tc>
        <w:tc>
          <w:tcPr>
            <w:tcW w:w="2160" w:type="dxa"/>
          </w:tcPr>
          <w:p>
            <w:pPr>
              <w:rPr>
                <w:rFonts w:ascii="宋体" w:hAnsi="宋体" w:cs="宋体"/>
                <w:szCs w:val="21"/>
              </w:rPr>
            </w:pPr>
            <w:r>
              <w:rPr>
                <w:rFonts w:hint="eastAsia" w:ascii="宋体" w:hAnsi="宋体" w:cs="宋体"/>
                <w:szCs w:val="21"/>
              </w:rPr>
              <w:t>教育行政主管部门组织的竞赛</w:t>
            </w:r>
          </w:p>
        </w:tc>
        <w:tc>
          <w:tcPr>
            <w:tcW w:w="6258" w:type="dxa"/>
          </w:tcPr>
          <w:p>
            <w:pPr>
              <w:rPr>
                <w:rFonts w:ascii="宋体" w:hAnsi="宋体" w:cs="宋体"/>
                <w:szCs w:val="21"/>
              </w:rPr>
            </w:pPr>
            <w:r>
              <w:rPr>
                <w:rFonts w:hint="eastAsia" w:ascii="宋体" w:hAnsi="宋体" w:cs="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pPr>
              <w:rPr>
                <w:rFonts w:ascii="宋体" w:hAnsi="宋体" w:cs="宋体"/>
                <w:szCs w:val="21"/>
              </w:rPr>
            </w:pPr>
          </w:p>
        </w:tc>
        <w:tc>
          <w:tcPr>
            <w:tcW w:w="2160" w:type="dxa"/>
          </w:tcPr>
          <w:p>
            <w:pPr>
              <w:rPr>
                <w:rFonts w:ascii="宋体" w:hAnsi="宋体" w:cs="宋体"/>
                <w:szCs w:val="21"/>
              </w:rPr>
            </w:pPr>
            <w:r>
              <w:rPr>
                <w:rFonts w:hint="eastAsia" w:ascii="宋体" w:hAnsi="宋体" w:cs="宋体"/>
                <w:szCs w:val="21"/>
              </w:rPr>
              <w:t>其他行业协会或社会组织的竞赛</w:t>
            </w:r>
          </w:p>
        </w:tc>
        <w:tc>
          <w:tcPr>
            <w:tcW w:w="6258" w:type="dxa"/>
          </w:tcPr>
          <w:p>
            <w:pPr>
              <w:rPr>
                <w:rFonts w:ascii="宋体" w:hAnsi="宋体" w:cs="宋体"/>
                <w:szCs w:val="21"/>
              </w:rPr>
            </w:pPr>
            <w:r>
              <w:rPr>
                <w:rFonts w:hint="eastAsia" w:ascii="宋体" w:hAnsi="宋体" w:cs="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pPr>
              <w:rPr>
                <w:rFonts w:ascii="宋体" w:hAnsi="宋体" w:cs="宋体"/>
                <w:szCs w:val="21"/>
              </w:rPr>
            </w:pPr>
          </w:p>
        </w:tc>
        <w:tc>
          <w:tcPr>
            <w:tcW w:w="2160" w:type="dxa"/>
          </w:tcPr>
          <w:p>
            <w:pPr>
              <w:rPr>
                <w:rFonts w:ascii="宋体" w:hAnsi="宋体" w:cs="宋体"/>
                <w:szCs w:val="21"/>
              </w:rPr>
            </w:pPr>
            <w:r>
              <w:rPr>
                <w:rFonts w:hint="eastAsia" w:ascii="宋体" w:hAnsi="宋体" w:cs="宋体"/>
                <w:szCs w:val="21"/>
              </w:rPr>
              <w:t>校级竞赛</w:t>
            </w:r>
          </w:p>
        </w:tc>
        <w:tc>
          <w:tcPr>
            <w:tcW w:w="6258" w:type="dxa"/>
          </w:tcPr>
          <w:p>
            <w:pPr>
              <w:rPr>
                <w:rFonts w:ascii="宋体" w:hAnsi="宋体" w:cs="宋体"/>
                <w:szCs w:val="21"/>
              </w:rPr>
            </w:pPr>
            <w:r>
              <w:rPr>
                <w:rFonts w:hint="eastAsia" w:ascii="宋体" w:hAnsi="宋体" w:cs="宋体"/>
                <w:szCs w:val="21"/>
              </w:rPr>
              <w:t>校级技能竞赛一等奖以上可替换0.5学分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pPr>
              <w:rPr>
                <w:rFonts w:ascii="宋体" w:hAnsi="宋体" w:cs="宋体"/>
                <w:szCs w:val="21"/>
              </w:rPr>
            </w:pPr>
            <w:r>
              <w:rPr>
                <w:rFonts w:hint="eastAsia" w:ascii="宋体" w:hAnsi="宋体" w:cs="宋体"/>
                <w:szCs w:val="21"/>
              </w:rPr>
              <w:t>项目开发类</w:t>
            </w:r>
          </w:p>
        </w:tc>
        <w:tc>
          <w:tcPr>
            <w:tcW w:w="2160" w:type="dxa"/>
          </w:tcPr>
          <w:p>
            <w:pPr>
              <w:rPr>
                <w:rFonts w:ascii="宋体" w:hAnsi="宋体" w:cs="宋体"/>
                <w:szCs w:val="21"/>
              </w:rPr>
            </w:pPr>
            <w:r>
              <w:rPr>
                <w:rFonts w:hint="eastAsia" w:ascii="宋体" w:hAnsi="宋体" w:cs="宋体"/>
                <w:szCs w:val="21"/>
              </w:rPr>
              <w:t>自主实施的项目开发</w:t>
            </w:r>
          </w:p>
        </w:tc>
        <w:tc>
          <w:tcPr>
            <w:tcW w:w="6258" w:type="dxa"/>
          </w:tcPr>
          <w:p>
            <w:pPr>
              <w:rPr>
                <w:rFonts w:ascii="宋体" w:hAnsi="宋体" w:cs="宋体"/>
                <w:szCs w:val="21"/>
              </w:rPr>
            </w:pPr>
            <w:r>
              <w:rPr>
                <w:rFonts w:hint="eastAsia" w:ascii="宋体" w:hAnsi="宋体" w:cs="宋体"/>
                <w:szCs w:val="21"/>
              </w:rPr>
              <w:t>提供合作企业证明文件、工商登记证明等有效证明文件由专业负责人认定可替换学分,每学期累计不得超过8学分。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pPr>
              <w:rPr>
                <w:rFonts w:ascii="宋体" w:hAnsi="宋体" w:cs="宋体"/>
                <w:szCs w:val="21"/>
              </w:rPr>
            </w:pPr>
          </w:p>
        </w:tc>
        <w:tc>
          <w:tcPr>
            <w:tcW w:w="2160" w:type="dxa"/>
          </w:tcPr>
          <w:p>
            <w:pPr>
              <w:rPr>
                <w:rFonts w:ascii="宋体" w:hAnsi="宋体" w:cs="宋体"/>
                <w:szCs w:val="21"/>
              </w:rPr>
            </w:pPr>
            <w:r>
              <w:rPr>
                <w:rFonts w:hint="eastAsia" w:ascii="宋体" w:hAnsi="宋体" w:cs="宋体"/>
                <w:szCs w:val="21"/>
              </w:rPr>
              <w:t>参与老师组织的项目开发</w:t>
            </w:r>
          </w:p>
        </w:tc>
        <w:tc>
          <w:tcPr>
            <w:tcW w:w="6258" w:type="dxa"/>
          </w:tcPr>
          <w:p>
            <w:pPr>
              <w:rPr>
                <w:rFonts w:ascii="宋体" w:hAnsi="宋体" w:cs="宋体"/>
                <w:szCs w:val="21"/>
              </w:rPr>
            </w:pPr>
            <w:r>
              <w:rPr>
                <w:rFonts w:hint="eastAsia" w:ascii="宋体" w:hAnsi="宋体" w:cs="宋体"/>
                <w:szCs w:val="21"/>
              </w:rPr>
              <w:t>参与老师组织的项目开发，由专业负责人和项目主持老师认定可替换学分，原则上参加2周替换1学分。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pPr>
              <w:rPr>
                <w:rFonts w:ascii="宋体" w:hAnsi="宋体" w:cs="宋体"/>
                <w:szCs w:val="21"/>
              </w:rPr>
            </w:pPr>
            <w:r>
              <w:rPr>
                <w:rFonts w:hint="eastAsia" w:ascii="宋体" w:hAnsi="宋体" w:cs="宋体"/>
                <w:szCs w:val="21"/>
              </w:rPr>
              <w:t>职业资格证书类</w:t>
            </w:r>
          </w:p>
        </w:tc>
        <w:tc>
          <w:tcPr>
            <w:tcW w:w="2160" w:type="dxa"/>
          </w:tcPr>
          <w:p>
            <w:pPr>
              <w:rPr>
                <w:rFonts w:ascii="宋体" w:hAnsi="宋体" w:cs="宋体"/>
                <w:szCs w:val="21"/>
              </w:rPr>
            </w:pPr>
            <w:r>
              <w:rPr>
                <w:rFonts w:hint="eastAsia" w:ascii="宋体" w:hAnsi="宋体" w:cs="宋体"/>
                <w:szCs w:val="21"/>
              </w:rPr>
              <w:t>人力资源和社会保障系统职业资格证书</w:t>
            </w:r>
          </w:p>
        </w:tc>
        <w:tc>
          <w:tcPr>
            <w:tcW w:w="6258" w:type="dxa"/>
          </w:tcPr>
          <w:p>
            <w:pPr>
              <w:rPr>
                <w:rFonts w:ascii="宋体" w:hAnsi="宋体" w:cs="宋体"/>
                <w:szCs w:val="21"/>
              </w:rPr>
            </w:pPr>
            <w:r>
              <w:rPr>
                <w:rFonts w:hint="eastAsia" w:ascii="宋体" w:hAnsi="宋体" w:cs="宋体"/>
                <w:szCs w:val="21"/>
              </w:rPr>
              <w:t>取得中级工可替换1学分，高级工可替换2学分，技师级可替换6学分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pPr>
              <w:rPr>
                <w:rFonts w:ascii="宋体" w:hAnsi="宋体" w:cs="宋体"/>
                <w:szCs w:val="21"/>
              </w:rPr>
            </w:pPr>
            <w:r>
              <w:rPr>
                <w:rFonts w:hint="eastAsia" w:ascii="宋体" w:hAnsi="宋体" w:cs="宋体"/>
                <w:szCs w:val="21"/>
              </w:rPr>
              <w:t>发明专利类</w:t>
            </w:r>
          </w:p>
        </w:tc>
        <w:tc>
          <w:tcPr>
            <w:tcW w:w="2160" w:type="dxa"/>
          </w:tcPr>
          <w:p>
            <w:pPr>
              <w:rPr>
                <w:rFonts w:ascii="宋体" w:hAnsi="宋体" w:cs="宋体"/>
                <w:szCs w:val="21"/>
              </w:rPr>
            </w:pPr>
            <w:r>
              <w:rPr>
                <w:rFonts w:hint="eastAsia" w:ascii="宋体" w:hAnsi="宋体" w:cs="宋体"/>
                <w:szCs w:val="21"/>
              </w:rPr>
              <w:t>发明专利</w:t>
            </w:r>
          </w:p>
        </w:tc>
        <w:tc>
          <w:tcPr>
            <w:tcW w:w="6258" w:type="dxa"/>
          </w:tcPr>
          <w:p>
            <w:pPr>
              <w:rPr>
                <w:rFonts w:ascii="宋体" w:hAnsi="宋体" w:cs="宋体"/>
                <w:szCs w:val="21"/>
              </w:rPr>
            </w:pPr>
            <w:r>
              <w:rPr>
                <w:rFonts w:hint="eastAsia" w:ascii="宋体" w:hAnsi="宋体" w:cs="宋体"/>
                <w:szCs w:val="21"/>
              </w:rPr>
              <w:t>取得发明专利可替换8学分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pPr>
              <w:rPr>
                <w:rFonts w:ascii="宋体" w:hAnsi="宋体" w:cs="宋体"/>
                <w:szCs w:val="21"/>
              </w:rPr>
            </w:pPr>
          </w:p>
        </w:tc>
        <w:tc>
          <w:tcPr>
            <w:tcW w:w="2160" w:type="dxa"/>
          </w:tcPr>
          <w:p>
            <w:pPr>
              <w:rPr>
                <w:rFonts w:ascii="宋体" w:hAnsi="宋体" w:cs="宋体"/>
                <w:szCs w:val="21"/>
              </w:rPr>
            </w:pPr>
            <w:r>
              <w:rPr>
                <w:rFonts w:hint="eastAsia" w:ascii="宋体" w:hAnsi="宋体" w:cs="宋体"/>
                <w:szCs w:val="21"/>
              </w:rPr>
              <w:t>实用新型专利</w:t>
            </w:r>
          </w:p>
        </w:tc>
        <w:tc>
          <w:tcPr>
            <w:tcW w:w="6258" w:type="dxa"/>
          </w:tcPr>
          <w:p>
            <w:pPr>
              <w:rPr>
                <w:rFonts w:ascii="宋体" w:hAnsi="宋体" w:cs="宋体"/>
                <w:szCs w:val="21"/>
              </w:rPr>
            </w:pPr>
            <w:r>
              <w:rPr>
                <w:rFonts w:hint="eastAsia" w:ascii="宋体" w:hAnsi="宋体" w:cs="宋体"/>
                <w:szCs w:val="21"/>
              </w:rPr>
              <w:t>取得实用新型专利可替换6学分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pPr>
              <w:rPr>
                <w:rFonts w:ascii="宋体" w:hAnsi="宋体" w:cs="宋体"/>
                <w:szCs w:val="21"/>
              </w:rPr>
            </w:pPr>
          </w:p>
        </w:tc>
        <w:tc>
          <w:tcPr>
            <w:tcW w:w="2160" w:type="dxa"/>
          </w:tcPr>
          <w:p>
            <w:pPr>
              <w:rPr>
                <w:rFonts w:ascii="宋体" w:hAnsi="宋体" w:cs="宋体"/>
                <w:szCs w:val="21"/>
              </w:rPr>
            </w:pPr>
            <w:r>
              <w:rPr>
                <w:rFonts w:hint="eastAsia" w:ascii="宋体" w:hAnsi="宋体" w:cs="宋体"/>
                <w:szCs w:val="21"/>
              </w:rPr>
              <w:t>外观设计专利</w:t>
            </w:r>
          </w:p>
        </w:tc>
        <w:tc>
          <w:tcPr>
            <w:tcW w:w="6258" w:type="dxa"/>
          </w:tcPr>
          <w:p>
            <w:pPr>
              <w:rPr>
                <w:rFonts w:ascii="宋体" w:hAnsi="宋体" w:cs="宋体"/>
                <w:szCs w:val="21"/>
              </w:rPr>
            </w:pPr>
            <w:r>
              <w:rPr>
                <w:rFonts w:hint="eastAsia" w:ascii="宋体" w:hAnsi="宋体" w:cs="宋体"/>
                <w:szCs w:val="21"/>
              </w:rPr>
              <w:t>取得外观设计专利可替换4学分</w:t>
            </w:r>
          </w:p>
        </w:tc>
      </w:tr>
    </w:tbl>
    <w:p>
      <w:pPr>
        <w:spacing w:line="400" w:lineRule="exact"/>
        <w:ind w:firstLine="421"/>
        <w:rPr>
          <w:rFonts w:ascii="宋体" w:hAnsi="宋体" w:cs="宋体"/>
          <w:szCs w:val="21"/>
        </w:rPr>
      </w:pPr>
    </w:p>
    <w:p>
      <w:pPr>
        <w:spacing w:line="400" w:lineRule="exact"/>
        <w:ind w:firstLine="421"/>
        <w:rPr>
          <w:rFonts w:ascii="宋体" w:hAnsi="宋体" w:cs="宋体"/>
          <w:bCs/>
          <w:szCs w:val="21"/>
        </w:rPr>
      </w:pPr>
      <w:r>
        <w:rPr>
          <w:rFonts w:hint="eastAsia" w:ascii="宋体" w:hAnsi="宋体" w:cs="宋体"/>
          <w:bCs/>
          <w:szCs w:val="21"/>
        </w:rPr>
        <w:t>2、建立健全巡课和听课制度，严明教学纪律和课堂纪律，对日常教学组织加强管理。</w:t>
      </w:r>
    </w:p>
    <w:p>
      <w:pPr>
        <w:spacing w:line="400" w:lineRule="exact"/>
        <w:ind w:firstLine="421"/>
        <w:rPr>
          <w:rFonts w:ascii="宋体" w:hAnsi="宋体" w:cs="宋体"/>
          <w:bCs/>
          <w:szCs w:val="21"/>
        </w:rPr>
      </w:pPr>
      <w:r>
        <w:rPr>
          <w:rFonts w:hint="eastAsia" w:ascii="宋体" w:hAnsi="宋体" w:cs="宋体"/>
          <w:bCs/>
          <w:szCs w:val="21"/>
        </w:rPr>
        <w:t>3、建立毕业生跟踪反馈机制和社会评价机制，定期评价人才培养质量和培养目标的达成情况。</w:t>
      </w:r>
    </w:p>
    <w:p>
      <w:pPr>
        <w:adjustRightInd w:val="0"/>
        <w:snapToGrid w:val="0"/>
        <w:spacing w:before="156" w:beforeLines="50" w:line="360" w:lineRule="auto"/>
        <w:ind w:firstLine="420"/>
        <w:rPr>
          <w:rFonts w:ascii="宋体" w:hAnsi="宋体" w:cs="宋体"/>
          <w:b/>
          <w:bCs/>
          <w:szCs w:val="21"/>
        </w:rPr>
      </w:pPr>
      <w:r>
        <w:rPr>
          <w:rFonts w:hint="eastAsia" w:ascii="宋体" w:hAnsi="宋体" w:cs="宋体"/>
          <w:bCs/>
          <w:szCs w:val="21"/>
        </w:rPr>
        <w:t>4、要充分利用评价分析结构有效改进专业教学，加强专业建设，持续提高人才培养质量。</w:t>
      </w:r>
    </w:p>
    <w:p>
      <w:pPr>
        <w:adjustRightInd w:val="0"/>
        <w:snapToGrid w:val="0"/>
        <w:spacing w:line="360" w:lineRule="auto"/>
        <w:rPr>
          <w:rFonts w:ascii="宋体" w:hAnsi="宋体" w:cs="宋体"/>
          <w:b/>
          <w:bCs/>
          <w:szCs w:val="21"/>
        </w:rPr>
      </w:pPr>
    </w:p>
    <w:p>
      <w:pPr>
        <w:rPr>
          <w:rFonts w:ascii="宋体" w:hAnsi="宋体" w:cs="宋体"/>
          <w:szCs w:val="21"/>
        </w:rPr>
      </w:pPr>
    </w:p>
    <w:p>
      <w:pPr>
        <w:spacing w:line="400" w:lineRule="exact"/>
        <w:ind w:firstLine="421"/>
        <w:rPr>
          <w:rFonts w:ascii="宋体" w:hAnsi="宋体"/>
          <w:bCs/>
          <w:szCs w:val="21"/>
        </w:rPr>
      </w:pPr>
    </w:p>
    <w:p>
      <w:pPr>
        <w:spacing w:line="360" w:lineRule="exact"/>
        <w:outlineLvl w:val="0"/>
        <w:rPr>
          <w:rFonts w:ascii="仿宋_GB2312"/>
        </w:rPr>
      </w:pPr>
      <w:r>
        <w:rPr>
          <w:rFonts w:hint="eastAsia" w:ascii="宋体" w:hAnsi="宋体" w:cs="宋体"/>
          <w:b/>
        </w:rPr>
        <w:t>十一、教学进程安排</w:t>
      </w:r>
    </w:p>
    <w:p>
      <w:pPr>
        <w:outlineLvl w:val="0"/>
        <w:rPr>
          <w:rFonts w:ascii="宋体" w:hAnsi="宋体"/>
          <w:szCs w:val="21"/>
        </w:rPr>
      </w:pPr>
      <w:r>
        <w:rPr>
          <w:rFonts w:hint="eastAsia" w:ascii="宋体" w:hAnsi="宋体"/>
          <w:b/>
          <w:szCs w:val="21"/>
        </w:rPr>
        <w:t xml:space="preserve">       </w:t>
      </w:r>
      <w:r>
        <w:rPr>
          <w:rFonts w:hint="eastAsia" w:ascii="宋体" w:hAnsi="宋体"/>
          <w:szCs w:val="21"/>
        </w:rPr>
        <w:t>1．理论与实践教学分配及比例表（见附件1－1）</w:t>
      </w:r>
    </w:p>
    <w:p>
      <w:pPr>
        <w:ind w:firstLine="735" w:firstLineChars="350"/>
        <w:outlineLvl w:val="0"/>
        <w:rPr>
          <w:rFonts w:ascii="宋体" w:hAnsi="宋体"/>
          <w:szCs w:val="21"/>
        </w:rPr>
      </w:pPr>
      <w:r>
        <w:rPr>
          <w:rFonts w:hint="eastAsia" w:ascii="宋体" w:hAnsi="宋体"/>
          <w:szCs w:val="21"/>
        </w:rPr>
        <w:t>2. 综合素质课教学进程表（见附件1－2）</w:t>
      </w:r>
    </w:p>
    <w:p>
      <w:pPr>
        <w:ind w:firstLine="735" w:firstLineChars="350"/>
        <w:outlineLvl w:val="0"/>
        <w:rPr>
          <w:rFonts w:ascii="宋体" w:hAnsi="宋体"/>
          <w:szCs w:val="21"/>
        </w:rPr>
      </w:pPr>
      <w:r>
        <w:rPr>
          <w:rFonts w:hint="eastAsia" w:ascii="宋体" w:hAnsi="宋体"/>
          <w:szCs w:val="21"/>
        </w:rPr>
        <w:t>3. 专业课教学进程表（见附件1－3）</w:t>
      </w:r>
    </w:p>
    <w:p>
      <w:pPr>
        <w:adjustRightInd w:val="0"/>
        <w:snapToGrid w:val="0"/>
        <w:spacing w:line="360" w:lineRule="auto"/>
        <w:ind w:firstLine="735" w:firstLineChars="350"/>
        <w:rPr>
          <w:rFonts w:ascii="宋体" w:hAnsi="宋体"/>
          <w:b/>
          <w:bCs/>
          <w:szCs w:val="21"/>
        </w:rPr>
      </w:pPr>
      <w:r>
        <w:rPr>
          <w:rFonts w:hint="eastAsia" w:ascii="宋体" w:hAnsi="宋体"/>
          <w:szCs w:val="21"/>
        </w:rPr>
        <w:t>4．实践课教学进程表（见附件1－4）</w:t>
      </w:r>
    </w:p>
    <w:p>
      <w:pPr>
        <w:adjustRightInd w:val="0"/>
        <w:snapToGrid w:val="0"/>
        <w:spacing w:line="360" w:lineRule="auto"/>
        <w:jc w:val="left"/>
        <w:rPr>
          <w:rFonts w:ascii="宋体" w:hAnsi="宋体"/>
          <w:b/>
          <w:bCs/>
          <w:szCs w:val="21"/>
        </w:rPr>
      </w:pPr>
    </w:p>
    <w:p>
      <w:pPr>
        <w:widowControl/>
        <w:jc w:val="left"/>
        <w:rPr>
          <w:rFonts w:ascii="宋体" w:hAnsi="宋体"/>
          <w:b/>
          <w:bCs/>
          <w:szCs w:val="21"/>
        </w:rPr>
      </w:pPr>
      <w:r>
        <w:rPr>
          <w:rFonts w:ascii="宋体" w:hAnsi="宋体"/>
          <w:b/>
          <w:bCs/>
          <w:szCs w:val="21"/>
        </w:rPr>
        <w:br w:type="page"/>
      </w:r>
    </w:p>
    <w:p>
      <w:pPr>
        <w:adjustRightInd w:val="0"/>
        <w:snapToGrid w:val="0"/>
        <w:spacing w:line="360" w:lineRule="auto"/>
        <w:jc w:val="left"/>
        <w:rPr>
          <w:rFonts w:hint="eastAsia" w:ascii="宋体" w:hAnsi="宋体" w:eastAsia="宋体"/>
          <w:b/>
          <w:bCs/>
          <w:szCs w:val="21"/>
          <w:lang w:eastAsia="zh-CN"/>
        </w:rPr>
      </w:pPr>
      <w:r>
        <w:rPr>
          <w:rFonts w:hint="eastAsia" w:ascii="宋体" w:hAnsi="宋体"/>
          <w:b/>
          <w:bCs/>
          <w:szCs w:val="21"/>
        </w:rPr>
        <w:t>附件1-</w:t>
      </w:r>
      <w:r>
        <w:rPr>
          <w:rFonts w:ascii="宋体" w:hAnsi="宋体"/>
          <w:b/>
          <w:bCs/>
          <w:szCs w:val="21"/>
        </w:rPr>
        <w:t>1</w:t>
      </w:r>
    </w:p>
    <w:p>
      <w:pPr>
        <w:adjustRightInd w:val="0"/>
        <w:snapToGrid w:val="0"/>
        <w:spacing w:line="360" w:lineRule="auto"/>
        <w:jc w:val="center"/>
        <w:rPr>
          <w:rFonts w:hint="eastAsia" w:ascii="宋体" w:hAnsi="宋体" w:eastAsia="宋体"/>
          <w:b/>
          <w:bCs/>
          <w:szCs w:val="21"/>
        </w:rPr>
      </w:pPr>
    </w:p>
    <w:p>
      <w:pPr>
        <w:adjustRightInd w:val="0"/>
        <w:snapToGrid w:val="0"/>
        <w:spacing w:line="360" w:lineRule="auto"/>
        <w:jc w:val="center"/>
        <w:rPr>
          <w:rFonts w:hint="eastAsia" w:ascii="宋体" w:hAnsi="宋体" w:eastAsia="宋体"/>
          <w:b/>
          <w:bCs/>
          <w:szCs w:val="21"/>
        </w:rPr>
      </w:pPr>
      <w:r>
        <w:drawing>
          <wp:inline distT="0" distB="0" distL="114300" distR="114300">
            <wp:extent cx="6010910" cy="3392170"/>
            <wp:effectExtent l="0" t="0" r="8890"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6010910" cy="3392170"/>
                    </a:xfrm>
                    <a:prstGeom prst="rect">
                      <a:avLst/>
                    </a:prstGeom>
                    <a:noFill/>
                    <a:ln>
                      <a:noFill/>
                    </a:ln>
                  </pic:spPr>
                </pic:pic>
              </a:graphicData>
            </a:graphic>
          </wp:inline>
        </w:drawing>
      </w:r>
    </w:p>
    <w:p>
      <w:pPr>
        <w:adjustRightInd w:val="0"/>
        <w:snapToGrid w:val="0"/>
        <w:spacing w:line="360" w:lineRule="auto"/>
        <w:jc w:val="center"/>
        <w:rPr>
          <w:rFonts w:hint="eastAsia" w:ascii="宋体" w:hAnsi="宋体" w:eastAsia="宋体"/>
          <w:b/>
          <w:bCs/>
          <w:szCs w:val="21"/>
        </w:rPr>
      </w:pPr>
    </w:p>
    <w:p>
      <w:pPr>
        <w:adjustRightInd w:val="0"/>
        <w:snapToGrid w:val="0"/>
        <w:spacing w:line="360" w:lineRule="auto"/>
        <w:jc w:val="left"/>
        <w:rPr>
          <w:rFonts w:ascii="宋体" w:hAnsi="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r>
        <w:rPr>
          <w:rFonts w:hint="eastAsia" w:ascii="宋体" w:hAnsi="宋体" w:eastAsia="宋体"/>
          <w:b/>
          <w:bCs/>
          <w:szCs w:val="21"/>
        </w:rPr>
        <w:t>附件1-2</w:t>
      </w:r>
    </w:p>
    <w:p>
      <w:pPr>
        <w:adjustRightInd w:val="0"/>
        <w:snapToGrid w:val="0"/>
        <w:spacing w:line="360" w:lineRule="auto"/>
        <w:jc w:val="center"/>
        <w:rPr>
          <w:rFonts w:ascii="宋体" w:hAnsi="宋体"/>
          <w:szCs w:val="21"/>
        </w:rPr>
      </w:pPr>
      <w:r>
        <w:drawing>
          <wp:inline distT="0" distB="0" distL="114300" distR="114300">
            <wp:extent cx="4848225" cy="76390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4848225" cy="7639050"/>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rPr>
          <w:rFonts w:hint="eastAsia"/>
        </w:rPr>
      </w:pPr>
    </w:p>
    <w:p>
      <w:pPr>
        <w:adjustRightInd w:val="0"/>
        <w:snapToGrid w:val="0"/>
        <w:spacing w:line="360" w:lineRule="auto"/>
        <w:rPr>
          <w:rFonts w:hint="eastAsia"/>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rPr>
      </w:pPr>
      <w:r>
        <w:rPr>
          <w:rFonts w:hint="eastAsia" w:ascii="宋体" w:hAnsi="宋体" w:eastAsia="宋体"/>
          <w:b/>
          <w:bCs/>
          <w:szCs w:val="21"/>
        </w:rPr>
        <w:t>附件1-</w:t>
      </w:r>
      <w:r>
        <w:rPr>
          <w:rFonts w:hint="eastAsia" w:ascii="宋体" w:hAnsi="宋体" w:eastAsia="宋体"/>
          <w:b/>
          <w:bCs/>
          <w:szCs w:val="21"/>
          <w:lang w:val="en-US" w:eastAsia="zh-CN"/>
        </w:rPr>
        <w:t>3</w:t>
      </w:r>
    </w:p>
    <w:p>
      <w:pPr>
        <w:adjustRightInd w:val="0"/>
        <w:snapToGrid w:val="0"/>
        <w:spacing w:line="360" w:lineRule="auto"/>
        <w:jc w:val="center"/>
        <w:rPr>
          <w:rFonts w:hint="eastAsia" w:ascii="宋体" w:hAnsi="宋体" w:eastAsia="宋体"/>
          <w:b/>
          <w:bCs/>
          <w:szCs w:val="21"/>
          <w:lang w:val="en-US" w:eastAsia="zh-CN"/>
        </w:rPr>
      </w:pPr>
      <w:bookmarkStart w:id="1" w:name="_GoBack"/>
      <w:r>
        <w:drawing>
          <wp:inline distT="0" distB="0" distL="114300" distR="114300">
            <wp:extent cx="2531745" cy="8176260"/>
            <wp:effectExtent l="0" t="0" r="1905" b="152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2531745" cy="8176260"/>
                    </a:xfrm>
                    <a:prstGeom prst="rect">
                      <a:avLst/>
                    </a:prstGeom>
                    <a:noFill/>
                    <a:ln>
                      <a:noFill/>
                    </a:ln>
                  </pic:spPr>
                </pic:pic>
              </a:graphicData>
            </a:graphic>
          </wp:inline>
        </w:drawing>
      </w:r>
      <w:bookmarkEnd w:id="1"/>
      <w:r>
        <w:rPr>
          <w:rFonts w:hint="eastAsia"/>
          <w:lang w:val="en-US" w:eastAsia="zh-CN"/>
        </w:rPr>
        <w:t>v</w:t>
      </w:r>
    </w:p>
    <w:p>
      <w:pPr>
        <w:adjustRightInd w:val="0"/>
        <w:snapToGrid w:val="0"/>
        <w:spacing w:line="360" w:lineRule="auto"/>
      </w:pPr>
    </w:p>
    <w:p>
      <w:pPr>
        <w:adjustRightInd w:val="0"/>
        <w:snapToGrid w:val="0"/>
        <w:spacing w:line="360" w:lineRule="auto"/>
      </w:pPr>
    </w:p>
    <w:p>
      <w:pPr>
        <w:adjustRightInd w:val="0"/>
        <w:snapToGrid w:val="0"/>
        <w:spacing w:line="360" w:lineRule="auto"/>
      </w:pPr>
    </w:p>
    <w:p>
      <w:pPr>
        <w:adjustRightInd w:val="0"/>
        <w:snapToGrid w:val="0"/>
        <w:spacing w:line="360" w:lineRule="auto"/>
      </w:pPr>
    </w:p>
    <w:p>
      <w:pPr>
        <w:adjustRightInd w:val="0"/>
        <w:snapToGrid w:val="0"/>
        <w:spacing w:line="360" w:lineRule="auto"/>
      </w:pPr>
    </w:p>
    <w:p>
      <w:pPr>
        <w:adjustRightInd w:val="0"/>
        <w:snapToGrid w:val="0"/>
        <w:spacing w:line="360" w:lineRule="auto"/>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p>
    <w:p>
      <w:pPr>
        <w:adjustRightInd w:val="0"/>
        <w:snapToGrid w:val="0"/>
        <w:spacing w:line="360" w:lineRule="auto"/>
        <w:jc w:val="left"/>
        <w:rPr>
          <w:rFonts w:hint="eastAsia" w:ascii="宋体" w:hAnsi="宋体" w:eastAsia="宋体"/>
          <w:b/>
          <w:bCs/>
          <w:szCs w:val="21"/>
        </w:rPr>
      </w:pPr>
      <w:r>
        <w:rPr>
          <w:rFonts w:hint="eastAsia" w:ascii="宋体" w:hAnsi="宋体" w:eastAsia="宋体"/>
          <w:b/>
          <w:bCs/>
          <w:szCs w:val="21"/>
        </w:rPr>
        <w:t>附件1-4</w:t>
      </w:r>
    </w:p>
    <w:p>
      <w:pPr>
        <w:adjustRightInd w:val="0"/>
        <w:snapToGrid w:val="0"/>
        <w:spacing w:line="360" w:lineRule="auto"/>
      </w:pPr>
      <w:r>
        <w:drawing>
          <wp:inline distT="0" distB="0" distL="114300" distR="114300">
            <wp:extent cx="6007735" cy="3103245"/>
            <wp:effectExtent l="0" t="0" r="1206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6007735" cy="3103245"/>
                    </a:xfrm>
                    <a:prstGeom prst="rect">
                      <a:avLst/>
                    </a:prstGeom>
                    <a:noFill/>
                    <a:ln>
                      <a:noFill/>
                    </a:ln>
                  </pic:spPr>
                </pic:pic>
              </a:graphicData>
            </a:graphic>
          </wp:inline>
        </w:drawing>
      </w:r>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2</w:t>
    </w:r>
    <w:r>
      <w:rPr>
        <w:lang w:val="zh-CN"/>
      </w:rPr>
      <w:fldChar w:fldCharType="end"/>
    </w:r>
  </w:p>
  <w:p>
    <w:pPr>
      <w:pStyle w:val="3"/>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8"/>
      </w:rPr>
    </w:pPr>
    <w:r>
      <w:fldChar w:fldCharType="begin"/>
    </w:r>
    <w:r>
      <w:rPr>
        <w:rStyle w:val="8"/>
      </w:rPr>
      <w:instrText xml:space="preserve">PAGE  </w:instrText>
    </w:r>
    <w:r>
      <w:fldChar w:fldCharType="end"/>
    </w:r>
  </w:p>
  <w:p>
    <w:pPr>
      <w:pStyle w:val="3"/>
    </w:pP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62D433"/>
    <w:multiLevelType w:val="singleLevel"/>
    <w:tmpl w:val="A262D433"/>
    <w:lvl w:ilvl="0" w:tentative="0">
      <w:start w:val="10"/>
      <w:numFmt w:val="chineseCounting"/>
      <w:suff w:val="nothing"/>
      <w:lvlText w:val="%1、"/>
      <w:lvlJc w:val="left"/>
      <w:rPr>
        <w:rFonts w:hint="eastAsia"/>
      </w:rPr>
    </w:lvl>
  </w:abstractNum>
  <w:abstractNum w:abstractNumId="1">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DF10E96"/>
    <w:multiLevelType w:val="multilevel"/>
    <w:tmpl w:val="3DF10E96"/>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3">
    <w:nsid w:val="519333CA"/>
    <w:multiLevelType w:val="multilevel"/>
    <w:tmpl w:val="519333CA"/>
    <w:lvl w:ilvl="0" w:tentative="0">
      <w:start w:val="1"/>
      <w:numFmt w:val="decimal"/>
      <w:lvlText w:val="(%1)"/>
      <w:lvlJc w:val="left"/>
      <w:pPr>
        <w:ind w:left="840" w:hanging="420"/>
      </w:pPr>
      <w:rPr>
        <w:rFonts w:hint="eastAsia"/>
      </w:rPr>
    </w:lvl>
    <w:lvl w:ilvl="1" w:tentative="0">
      <w:start w:val="1"/>
      <w:numFmt w:val="decimal"/>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9196ECB"/>
    <w:multiLevelType w:val="singleLevel"/>
    <w:tmpl w:val="59196ECB"/>
    <w:lvl w:ilvl="0" w:tentative="0">
      <w:start w:val="3"/>
      <w:numFmt w:val="chineseCounting"/>
      <w:suff w:val="nothing"/>
      <w:lvlText w:val="（%1）"/>
      <w:lvlJc w:val="left"/>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0NTI3YTg5NjJhYTJjNTg5MDc4NGU2OThiNTViZjkifQ=="/>
  </w:docVars>
  <w:rsids>
    <w:rsidRoot w:val="0000374C"/>
    <w:rsid w:val="00000710"/>
    <w:rsid w:val="0000374C"/>
    <w:rsid w:val="00007C90"/>
    <w:rsid w:val="00010727"/>
    <w:rsid w:val="000534D0"/>
    <w:rsid w:val="00056410"/>
    <w:rsid w:val="00070984"/>
    <w:rsid w:val="00091B42"/>
    <w:rsid w:val="000A33DD"/>
    <w:rsid w:val="000B32B3"/>
    <w:rsid w:val="000C361A"/>
    <w:rsid w:val="000E061B"/>
    <w:rsid w:val="000F0BBD"/>
    <w:rsid w:val="000F4257"/>
    <w:rsid w:val="000F72AD"/>
    <w:rsid w:val="00104D78"/>
    <w:rsid w:val="00137827"/>
    <w:rsid w:val="001815FC"/>
    <w:rsid w:val="0018207D"/>
    <w:rsid w:val="001C3F01"/>
    <w:rsid w:val="001C4523"/>
    <w:rsid w:val="001F5DCE"/>
    <w:rsid w:val="00207C41"/>
    <w:rsid w:val="00210CBC"/>
    <w:rsid w:val="00220523"/>
    <w:rsid w:val="00224A2A"/>
    <w:rsid w:val="00227D41"/>
    <w:rsid w:val="0027018C"/>
    <w:rsid w:val="002719D7"/>
    <w:rsid w:val="0027456D"/>
    <w:rsid w:val="0027484F"/>
    <w:rsid w:val="00294831"/>
    <w:rsid w:val="002C47FE"/>
    <w:rsid w:val="002D0512"/>
    <w:rsid w:val="002D10EC"/>
    <w:rsid w:val="002D723C"/>
    <w:rsid w:val="002F35D3"/>
    <w:rsid w:val="002F7A81"/>
    <w:rsid w:val="00316860"/>
    <w:rsid w:val="0032439C"/>
    <w:rsid w:val="003355B1"/>
    <w:rsid w:val="00361B31"/>
    <w:rsid w:val="00383AC9"/>
    <w:rsid w:val="00387013"/>
    <w:rsid w:val="003870C7"/>
    <w:rsid w:val="00396300"/>
    <w:rsid w:val="003B6817"/>
    <w:rsid w:val="003C443D"/>
    <w:rsid w:val="003C6CA0"/>
    <w:rsid w:val="003D2A3A"/>
    <w:rsid w:val="003F036A"/>
    <w:rsid w:val="003F0C7D"/>
    <w:rsid w:val="004021BF"/>
    <w:rsid w:val="004151F0"/>
    <w:rsid w:val="004259A5"/>
    <w:rsid w:val="004543E3"/>
    <w:rsid w:val="00461294"/>
    <w:rsid w:val="00467E10"/>
    <w:rsid w:val="00495F34"/>
    <w:rsid w:val="004B20AE"/>
    <w:rsid w:val="004B238E"/>
    <w:rsid w:val="004E11E8"/>
    <w:rsid w:val="004E3BE6"/>
    <w:rsid w:val="004F081F"/>
    <w:rsid w:val="00512169"/>
    <w:rsid w:val="00515399"/>
    <w:rsid w:val="00522180"/>
    <w:rsid w:val="005229E2"/>
    <w:rsid w:val="00524BF5"/>
    <w:rsid w:val="005317AA"/>
    <w:rsid w:val="005371B0"/>
    <w:rsid w:val="005464DE"/>
    <w:rsid w:val="00557239"/>
    <w:rsid w:val="00570D54"/>
    <w:rsid w:val="00585689"/>
    <w:rsid w:val="00586BCD"/>
    <w:rsid w:val="00590C4A"/>
    <w:rsid w:val="005A2CC8"/>
    <w:rsid w:val="005A3842"/>
    <w:rsid w:val="005C0109"/>
    <w:rsid w:val="005C23D1"/>
    <w:rsid w:val="005D19C8"/>
    <w:rsid w:val="005D31CD"/>
    <w:rsid w:val="005E1795"/>
    <w:rsid w:val="005E24DE"/>
    <w:rsid w:val="005F50A3"/>
    <w:rsid w:val="0060152A"/>
    <w:rsid w:val="00606F8B"/>
    <w:rsid w:val="006070E8"/>
    <w:rsid w:val="00633C38"/>
    <w:rsid w:val="00633F37"/>
    <w:rsid w:val="00651883"/>
    <w:rsid w:val="00655691"/>
    <w:rsid w:val="006627C1"/>
    <w:rsid w:val="00674089"/>
    <w:rsid w:val="00680CE4"/>
    <w:rsid w:val="00680E16"/>
    <w:rsid w:val="006C1F10"/>
    <w:rsid w:val="006C36C8"/>
    <w:rsid w:val="006C7C43"/>
    <w:rsid w:val="0071504A"/>
    <w:rsid w:val="00726FF7"/>
    <w:rsid w:val="00736329"/>
    <w:rsid w:val="0077728E"/>
    <w:rsid w:val="00784133"/>
    <w:rsid w:val="007919BB"/>
    <w:rsid w:val="007B5614"/>
    <w:rsid w:val="007E1AAC"/>
    <w:rsid w:val="007F469D"/>
    <w:rsid w:val="007F4929"/>
    <w:rsid w:val="008111D1"/>
    <w:rsid w:val="008119F5"/>
    <w:rsid w:val="008370D6"/>
    <w:rsid w:val="00855806"/>
    <w:rsid w:val="00865E3A"/>
    <w:rsid w:val="008825AF"/>
    <w:rsid w:val="00884C19"/>
    <w:rsid w:val="008923FD"/>
    <w:rsid w:val="00896251"/>
    <w:rsid w:val="008A0B85"/>
    <w:rsid w:val="008A7014"/>
    <w:rsid w:val="008C0F1A"/>
    <w:rsid w:val="008C4339"/>
    <w:rsid w:val="008C54DB"/>
    <w:rsid w:val="008F414D"/>
    <w:rsid w:val="008F48A4"/>
    <w:rsid w:val="008F4A3E"/>
    <w:rsid w:val="00906748"/>
    <w:rsid w:val="00927297"/>
    <w:rsid w:val="009339FA"/>
    <w:rsid w:val="009427E6"/>
    <w:rsid w:val="00955B10"/>
    <w:rsid w:val="00963EEF"/>
    <w:rsid w:val="00973661"/>
    <w:rsid w:val="00984BBF"/>
    <w:rsid w:val="009A2B65"/>
    <w:rsid w:val="009B1D1D"/>
    <w:rsid w:val="009B6DC1"/>
    <w:rsid w:val="009E49CC"/>
    <w:rsid w:val="009F4027"/>
    <w:rsid w:val="00A110C0"/>
    <w:rsid w:val="00A2332A"/>
    <w:rsid w:val="00A34C98"/>
    <w:rsid w:val="00A5364D"/>
    <w:rsid w:val="00A56A7B"/>
    <w:rsid w:val="00A60B79"/>
    <w:rsid w:val="00A7292A"/>
    <w:rsid w:val="00A74478"/>
    <w:rsid w:val="00A9031C"/>
    <w:rsid w:val="00A9486E"/>
    <w:rsid w:val="00AB0D47"/>
    <w:rsid w:val="00AD5A90"/>
    <w:rsid w:val="00AE0252"/>
    <w:rsid w:val="00AF130B"/>
    <w:rsid w:val="00B136BE"/>
    <w:rsid w:val="00B25D87"/>
    <w:rsid w:val="00B36E56"/>
    <w:rsid w:val="00B3720B"/>
    <w:rsid w:val="00B633EC"/>
    <w:rsid w:val="00BA2C67"/>
    <w:rsid w:val="00BA6ADB"/>
    <w:rsid w:val="00BB4098"/>
    <w:rsid w:val="00BB7C09"/>
    <w:rsid w:val="00BC5A2E"/>
    <w:rsid w:val="00C1091B"/>
    <w:rsid w:val="00C115A3"/>
    <w:rsid w:val="00C1621A"/>
    <w:rsid w:val="00C20919"/>
    <w:rsid w:val="00C24207"/>
    <w:rsid w:val="00C27C5A"/>
    <w:rsid w:val="00C37769"/>
    <w:rsid w:val="00C420D0"/>
    <w:rsid w:val="00C53EFF"/>
    <w:rsid w:val="00C55268"/>
    <w:rsid w:val="00C667A6"/>
    <w:rsid w:val="00C7038A"/>
    <w:rsid w:val="00C74129"/>
    <w:rsid w:val="00C74EA9"/>
    <w:rsid w:val="00C95402"/>
    <w:rsid w:val="00CA0111"/>
    <w:rsid w:val="00CA603F"/>
    <w:rsid w:val="00CA61E6"/>
    <w:rsid w:val="00CB0FEF"/>
    <w:rsid w:val="00CD179F"/>
    <w:rsid w:val="00CD23E0"/>
    <w:rsid w:val="00CD34C1"/>
    <w:rsid w:val="00CD492D"/>
    <w:rsid w:val="00CF6536"/>
    <w:rsid w:val="00D208A6"/>
    <w:rsid w:val="00D22430"/>
    <w:rsid w:val="00D362F4"/>
    <w:rsid w:val="00D675CC"/>
    <w:rsid w:val="00D72EC5"/>
    <w:rsid w:val="00D83716"/>
    <w:rsid w:val="00D84BD6"/>
    <w:rsid w:val="00D8636F"/>
    <w:rsid w:val="00D87D7A"/>
    <w:rsid w:val="00DA1A0A"/>
    <w:rsid w:val="00DA7793"/>
    <w:rsid w:val="00DB5DEA"/>
    <w:rsid w:val="00DB711A"/>
    <w:rsid w:val="00DD2636"/>
    <w:rsid w:val="00DF435E"/>
    <w:rsid w:val="00E046AB"/>
    <w:rsid w:val="00E12E7C"/>
    <w:rsid w:val="00E211E9"/>
    <w:rsid w:val="00E26BF0"/>
    <w:rsid w:val="00E50899"/>
    <w:rsid w:val="00E5700E"/>
    <w:rsid w:val="00E615B8"/>
    <w:rsid w:val="00E66260"/>
    <w:rsid w:val="00E66872"/>
    <w:rsid w:val="00E66FA0"/>
    <w:rsid w:val="00E756B2"/>
    <w:rsid w:val="00EB504D"/>
    <w:rsid w:val="00EB51BC"/>
    <w:rsid w:val="00EC6F44"/>
    <w:rsid w:val="00ED2F04"/>
    <w:rsid w:val="00ED4064"/>
    <w:rsid w:val="00ED47C5"/>
    <w:rsid w:val="00EF3EC3"/>
    <w:rsid w:val="00F259E1"/>
    <w:rsid w:val="00F279F1"/>
    <w:rsid w:val="00F420B6"/>
    <w:rsid w:val="00F602E7"/>
    <w:rsid w:val="00F95EB6"/>
    <w:rsid w:val="00FA1DD3"/>
    <w:rsid w:val="00FB1210"/>
    <w:rsid w:val="00FB3F72"/>
    <w:rsid w:val="00FB51F5"/>
    <w:rsid w:val="00FE2441"/>
    <w:rsid w:val="00FE7E24"/>
    <w:rsid w:val="02CC5F12"/>
    <w:rsid w:val="05F65F4A"/>
    <w:rsid w:val="075667F1"/>
    <w:rsid w:val="09716517"/>
    <w:rsid w:val="0B972B69"/>
    <w:rsid w:val="0F53445A"/>
    <w:rsid w:val="119A3908"/>
    <w:rsid w:val="12E14856"/>
    <w:rsid w:val="2C874F16"/>
    <w:rsid w:val="2CEB510D"/>
    <w:rsid w:val="30AB1EFA"/>
    <w:rsid w:val="370B1B6F"/>
    <w:rsid w:val="393B7032"/>
    <w:rsid w:val="3AAD5990"/>
    <w:rsid w:val="3F84512C"/>
    <w:rsid w:val="453E3FCF"/>
    <w:rsid w:val="4CDE39A2"/>
    <w:rsid w:val="56BD643E"/>
    <w:rsid w:val="598F6200"/>
    <w:rsid w:val="643C1282"/>
    <w:rsid w:val="68DC46FC"/>
    <w:rsid w:val="766C234C"/>
    <w:rsid w:val="FFAFF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uiPriority w:val="99"/>
    <w:rPr>
      <w:sz w:val="18"/>
      <w:szCs w:val="18"/>
    </w:rPr>
  </w:style>
  <w:style w:type="paragraph" w:styleId="3">
    <w:name w:val="footer"/>
    <w:basedOn w:val="1"/>
    <w:link w:val="11"/>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1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qFormat/>
    <w:uiPriority w:val="0"/>
    <w:rPr>
      <w:b/>
      <w:bCs/>
    </w:rPr>
  </w:style>
  <w:style w:type="character" w:styleId="8">
    <w:name w:val="page number"/>
    <w:basedOn w:val="6"/>
    <w:qFormat/>
    <w:uiPriority w:val="0"/>
  </w:style>
  <w:style w:type="character" w:styleId="9">
    <w:name w:val="FollowedHyperlink"/>
    <w:basedOn w:val="6"/>
    <w:semiHidden/>
    <w:unhideWhenUsed/>
    <w:qFormat/>
    <w:uiPriority w:val="99"/>
    <w:rPr>
      <w:color w:val="800080"/>
      <w:u w:val="single"/>
    </w:rPr>
  </w:style>
  <w:style w:type="character" w:styleId="10">
    <w:name w:val="Hyperlink"/>
    <w:basedOn w:val="6"/>
    <w:semiHidden/>
    <w:unhideWhenUsed/>
    <w:qFormat/>
    <w:uiPriority w:val="99"/>
    <w:rPr>
      <w:color w:val="0000FF"/>
      <w:u w:val="single"/>
    </w:rPr>
  </w:style>
  <w:style w:type="character" w:customStyle="1" w:styleId="11">
    <w:name w:val="页脚 Char"/>
    <w:link w:val="3"/>
    <w:qFormat/>
    <w:uiPriority w:val="99"/>
    <w:rPr>
      <w:sz w:val="18"/>
      <w:szCs w:val="18"/>
    </w:rPr>
  </w:style>
  <w:style w:type="character" w:customStyle="1" w:styleId="12">
    <w:name w:val="页脚 Char1"/>
    <w:basedOn w:val="6"/>
    <w:semiHidden/>
    <w:qFormat/>
    <w:uiPriority w:val="99"/>
    <w:rPr>
      <w:rFonts w:ascii="Times New Roman" w:hAnsi="Times New Roman" w:eastAsia="宋体" w:cs="Times New Roman"/>
      <w:sz w:val="18"/>
      <w:szCs w:val="18"/>
    </w:rPr>
  </w:style>
  <w:style w:type="character" w:customStyle="1" w:styleId="13">
    <w:name w:val="批注框文本 Char"/>
    <w:basedOn w:val="6"/>
    <w:link w:val="2"/>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paragraph" w:customStyle="1" w:styleId="1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
    <w:name w:val="font7"/>
    <w:basedOn w:val="1"/>
    <w:qFormat/>
    <w:uiPriority w:val="0"/>
    <w:pPr>
      <w:widowControl/>
      <w:spacing w:before="100" w:beforeAutospacing="1" w:after="100" w:afterAutospacing="1"/>
      <w:jc w:val="left"/>
    </w:pPr>
    <w:rPr>
      <w:kern w:val="0"/>
      <w:sz w:val="18"/>
      <w:szCs w:val="18"/>
    </w:rPr>
  </w:style>
  <w:style w:type="paragraph" w:customStyle="1" w:styleId="19">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0">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3">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6">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9">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1">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2">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3">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4">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7">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8">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39">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0">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3">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5">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49">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2">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4">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5">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7">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8">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9">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0">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2">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4">
    <w:name w:val="xl104"/>
    <w:basedOn w:val="1"/>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8">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10"/>
    <w:basedOn w:val="1"/>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1">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2">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5">
    <w:name w:val="xl115"/>
    <w:basedOn w:val="1"/>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6">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7">
    <w:name w:val="xl11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8"/>
    <w:basedOn w:val="1"/>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20"/>
    <w:basedOn w:val="1"/>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2">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3"/>
    <w:basedOn w:val="1"/>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4">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5">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6">
    <w:name w:val="xl126"/>
    <w:basedOn w:val="1"/>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7"/>
    <w:basedOn w:val="1"/>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8">
    <w:name w:val="xl128"/>
    <w:basedOn w:val="1"/>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9"/>
    <w:basedOn w:val="1"/>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0">
    <w:name w:val="xl130"/>
    <w:basedOn w:val="1"/>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2">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3">
    <w:name w:val="xl133"/>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5">
    <w:name w:val="xl135"/>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6">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7">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8">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9"/>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1"/>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2">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3">
    <w:name w:val="xl143"/>
    <w:basedOn w:val="1"/>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4">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5">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6">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7">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8">
    <w:name w:val="xl148"/>
    <w:basedOn w:val="1"/>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1">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4">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5">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6">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7">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8">
    <w:name w:val="xl158"/>
    <w:basedOn w:val="1"/>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19">
    <w:name w:val="页眉 Char"/>
    <w:basedOn w:val="6"/>
    <w:link w:val="4"/>
    <w:uiPriority w:val="99"/>
    <w:rPr>
      <w:rFonts w:ascii="Times New Roman" w:hAnsi="Times New Roman" w:eastAsia="宋体" w:cs="Times New Roman"/>
      <w:sz w:val="18"/>
      <w:szCs w:val="18"/>
    </w:rPr>
  </w:style>
  <w:style w:type="table" w:customStyle="1" w:styleId="120">
    <w:name w:val="网格型浅色1"/>
    <w:basedOn w:val="5"/>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21</Pages>
  <Words>7191</Words>
  <Characters>7541</Characters>
  <Lines>137</Lines>
  <Paragraphs>38</Paragraphs>
  <TotalTime>0</TotalTime>
  <ScaleCrop>false</ScaleCrop>
  <LinksUpToDate>false</LinksUpToDate>
  <CharactersWithSpaces>7947</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2022-11-10T09:34:00Z</dcterms:created>
  <dc:creator>Windows 用户</dc:creator>
  <cp:lastModifiedBy>微信用户</cp:lastModifiedBy>
  <dcterms:modified xsi:type="dcterms:W3CDTF">2025-12-24T04:44:17Z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66971AD7BD4819185521516761C05CF6_43</vt:lpwstr>
  </property>
  <property fmtid="{D5CDD505-2E9C-101B-9397-08002B2CF9AE}" pid="4" name="KSOTemplateDocerSaveRecord">
    <vt:lpwstr>eyJoZGlkIjoiMTE0NTI3YTg5NjJhYTJjNTg5MDc4NGU2OThiNTViZjkiLCJ1c2VySWQiOiI1NTY2NTE1NDQifQ==</vt:lpwstr>
  </property>
</Properties>
</file>